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7F97E" w14:textId="11F3CFE8" w:rsidR="00945CC5" w:rsidRDefault="00046522">
      <w:pPr>
        <w:rPr>
          <w:b/>
          <w:bCs/>
          <w:u w:val="single"/>
        </w:rPr>
      </w:pPr>
      <w:r>
        <w:rPr>
          <w:b/>
          <w:bCs/>
          <w:u w:val="single"/>
        </w:rPr>
        <w:t>ODOT TP 26 SE Region Site 6</w:t>
      </w:r>
    </w:p>
    <w:p w14:paraId="65D9D8A3" w14:textId="4E78F16F" w:rsidR="00FF4BFC" w:rsidRPr="00FF4BFC" w:rsidRDefault="00FF4BFC">
      <w:r>
        <w:rPr>
          <w:b/>
          <w:bCs/>
        </w:rPr>
        <w:t>Introduction</w:t>
      </w:r>
    </w:p>
    <w:p w14:paraId="0B415FDD" w14:textId="599C25E4" w:rsidR="00FF4BFC" w:rsidRDefault="00046522">
      <w:r>
        <w:t>The TP 26 SE Region Site 6 project, henceforth referred to as TP Site 6, includes the construction of a parking lot on an existing grass area</w:t>
      </w:r>
      <w:r w:rsidR="00BE4051">
        <w:t xml:space="preserve"> near the US-35 and US-50 interchange in Ross County</w:t>
      </w:r>
      <w:r>
        <w:t>. The existing site has a depression th</w:t>
      </w:r>
      <w:r w:rsidR="00BE4051">
        <w:t>at</w:t>
      </w:r>
      <w:r>
        <w:t xml:space="preserve"> collects surface runoff from surrounding areas including the Marathon gas station to the east of TP Site 6. Field surveys have not found any outlets in the depression area, so it is assumed that runoff stays in this location until it evaporates, </w:t>
      </w:r>
      <w:r w:rsidR="00BE4051">
        <w:t>transpires through existing vegetation, or infiltrates into the ground. There are existing ditches along US-35 and US-50 that discharge through an existing 46” steel culvert under US-50. Runoff from the proposed TP Site 6 will enter these ditches through curb cuts or storm sewer outlets.</w:t>
      </w:r>
    </w:p>
    <w:p w14:paraId="5023B97F" w14:textId="66B2DF5E" w:rsidR="00FF4BFC" w:rsidRPr="00FF4BFC" w:rsidRDefault="00FF4BFC">
      <w:pPr>
        <w:rPr>
          <w:b/>
          <w:bCs/>
        </w:rPr>
      </w:pPr>
      <w:r>
        <w:rPr>
          <w:b/>
          <w:bCs/>
        </w:rPr>
        <w:t>Pavement Drainage</w:t>
      </w:r>
    </w:p>
    <w:p w14:paraId="5E5E2904" w14:textId="46342387" w:rsidR="002671CE" w:rsidRDefault="00BE4051">
      <w:r>
        <w:t xml:space="preserve">TP Site 6 will have cub around the perimeter of the parking lot. Therefore, we performed spread calcs to determine necessary locations for curb cuts. The entire parking lot will slope from east to west so that curb cuts will only be needed on the western, low side. Since the outlet ditch along US-35 is so close to the western edge of the proposed parking lot, curb cuts </w:t>
      </w:r>
      <w:r w:rsidR="000F0F67">
        <w:t>were</w:t>
      </w:r>
      <w:r>
        <w:t xml:space="preserve"> used to allow runoff to exit the parking lot and enter the ditch.</w:t>
      </w:r>
      <w:r w:rsidR="000F0F67">
        <w:t xml:space="preserve"> </w:t>
      </w:r>
      <w:r w:rsidR="00D9502B">
        <w:t>A 50% AEP design storm was used for the spread analysis with a total allowable spread of 10 feet. We used the 10-foot allowable spread to limit the amount of curb cuts needed and assumed that the truck cabins will be far enough away from the back of the trucks to be outside of the spread limits. We used</w:t>
      </w:r>
      <w:r w:rsidR="000F0F67">
        <w:t xml:space="preserve"> </w:t>
      </w:r>
      <w:r w:rsidR="000F0F67">
        <w:t>FHWA Hydraulic Toolbox</w:t>
      </w:r>
      <w:r w:rsidR="00D9502B">
        <w:t xml:space="preserve"> to analyze spread </w:t>
      </w:r>
      <w:r w:rsidR="000F0F67">
        <w:t>for the curb cuts</w:t>
      </w:r>
      <w:r w:rsidR="00D9502B">
        <w:t xml:space="preserve">. </w:t>
      </w:r>
    </w:p>
    <w:p w14:paraId="219EE2A7" w14:textId="61FF198F" w:rsidR="002671CE" w:rsidRPr="002671CE" w:rsidRDefault="002671CE">
      <w:pPr>
        <w:rPr>
          <w:b/>
          <w:bCs/>
        </w:rPr>
      </w:pPr>
      <w:r>
        <w:rPr>
          <w:b/>
          <w:bCs/>
        </w:rPr>
        <w:t>Storm Sewer</w:t>
      </w:r>
    </w:p>
    <w:p w14:paraId="33FF0FD2" w14:textId="23BA351B" w:rsidR="00FF4BFC" w:rsidRDefault="00D9502B">
      <w:r>
        <w:t>We designed the storm pipes in CDSS using a 10% AEP design storm and a 4% AEP HGL check storm</w:t>
      </w:r>
      <w:r w:rsidR="002671CE">
        <w:t>. There are existing catch basins in the Marathon parking lot that discharge to the depression TP Site 6 is filling in. Those storm sewers have been re-routed to outlet into the ditch on the west side of the parking lot.</w:t>
      </w:r>
    </w:p>
    <w:p w14:paraId="567A69C1" w14:textId="3CB796F0" w:rsidR="00FF4BFC" w:rsidRPr="00FF4BFC" w:rsidRDefault="00FF4BFC">
      <w:pPr>
        <w:rPr>
          <w:b/>
          <w:bCs/>
        </w:rPr>
      </w:pPr>
      <w:r>
        <w:rPr>
          <w:b/>
          <w:bCs/>
        </w:rPr>
        <w:t>Existing Ditch and Culvert Analysis</w:t>
      </w:r>
    </w:p>
    <w:p w14:paraId="7BD463F2" w14:textId="531CF11B" w:rsidR="00EB3E17" w:rsidRDefault="00D9502B">
      <w:r>
        <w:t>As previously mentioned, no evidence was found that the existing depression area at the site discharges into the existing roadside ditch or culvert. This existing depression will be filled in for the new parking lot. Therefore, we analyzed the ditch and culvert to ensure th</w:t>
      </w:r>
      <w:r w:rsidR="00EB3E17">
        <w:t xml:space="preserve">ey could adequately convey the additional flow. We analyzed the ditch flow depth using a 10% AEP storm in CDSS. </w:t>
      </w:r>
      <w:r w:rsidR="00D602D5">
        <w:t>The following table summarizes the ditch calculations:</w:t>
      </w:r>
    </w:p>
    <w:tbl>
      <w:tblPr>
        <w:tblStyle w:val="TableGrid"/>
        <w:tblW w:w="0" w:type="auto"/>
        <w:jc w:val="center"/>
        <w:tblLook w:val="04A0" w:firstRow="1" w:lastRow="0" w:firstColumn="1" w:lastColumn="0" w:noHBand="0" w:noVBand="1"/>
      </w:tblPr>
      <w:tblGrid>
        <w:gridCol w:w="1144"/>
        <w:gridCol w:w="1161"/>
        <w:gridCol w:w="1274"/>
        <w:gridCol w:w="1274"/>
        <w:gridCol w:w="1439"/>
        <w:gridCol w:w="1713"/>
        <w:gridCol w:w="2065"/>
      </w:tblGrid>
      <w:tr w:rsidR="00D16081" w14:paraId="21A56F04" w14:textId="77777777" w:rsidTr="00D16081">
        <w:trPr>
          <w:trHeight w:val="539"/>
          <w:jc w:val="center"/>
        </w:trPr>
        <w:tc>
          <w:tcPr>
            <w:tcW w:w="1144" w:type="dxa"/>
            <w:vAlign w:val="center"/>
          </w:tcPr>
          <w:p w14:paraId="33BDC7C3" w14:textId="214637DA" w:rsidR="00D16081" w:rsidRDefault="00D16081" w:rsidP="00942C9C">
            <w:pPr>
              <w:spacing w:after="0"/>
              <w:jc w:val="center"/>
            </w:pPr>
            <w:r>
              <w:t>Model</w:t>
            </w:r>
          </w:p>
        </w:tc>
        <w:tc>
          <w:tcPr>
            <w:tcW w:w="1161" w:type="dxa"/>
            <w:vAlign w:val="center"/>
          </w:tcPr>
          <w:p w14:paraId="0EBFC58E" w14:textId="77777777" w:rsidR="00D16081" w:rsidRDefault="00D16081" w:rsidP="00D16081">
            <w:pPr>
              <w:spacing w:after="0" w:line="240" w:lineRule="auto"/>
              <w:jc w:val="center"/>
            </w:pPr>
            <w:r>
              <w:t>Drainage Area</w:t>
            </w:r>
          </w:p>
          <w:p w14:paraId="712A891C" w14:textId="1DBA7AA5" w:rsidR="00D16081" w:rsidRDefault="00D16081" w:rsidP="00D16081">
            <w:pPr>
              <w:spacing w:after="0" w:line="240" w:lineRule="auto"/>
              <w:jc w:val="center"/>
            </w:pPr>
            <w:r>
              <w:t>(ac)</w:t>
            </w:r>
          </w:p>
        </w:tc>
        <w:tc>
          <w:tcPr>
            <w:tcW w:w="1274" w:type="dxa"/>
            <w:vAlign w:val="center"/>
          </w:tcPr>
          <w:p w14:paraId="0C7CAB3C" w14:textId="66CD6863" w:rsidR="00D16081" w:rsidRDefault="00D16081" w:rsidP="00D602D5">
            <w:pPr>
              <w:spacing w:after="0" w:line="240" w:lineRule="auto"/>
              <w:jc w:val="center"/>
            </w:pPr>
            <w:r>
              <w:t>10% AEP flow</w:t>
            </w:r>
          </w:p>
          <w:p w14:paraId="56AD3B95" w14:textId="4A114981" w:rsidR="00D16081" w:rsidRDefault="00D16081" w:rsidP="00D602D5">
            <w:pPr>
              <w:spacing w:after="0" w:line="240" w:lineRule="auto"/>
              <w:jc w:val="center"/>
            </w:pPr>
            <w:r>
              <w:t>(cfs)</w:t>
            </w:r>
          </w:p>
        </w:tc>
        <w:tc>
          <w:tcPr>
            <w:tcW w:w="1274" w:type="dxa"/>
            <w:vAlign w:val="center"/>
          </w:tcPr>
          <w:p w14:paraId="6F16C1FE" w14:textId="1A62ADAB" w:rsidR="00D16081" w:rsidRDefault="00D16081" w:rsidP="00942C9C">
            <w:pPr>
              <w:spacing w:after="0" w:line="240" w:lineRule="auto"/>
              <w:jc w:val="center"/>
            </w:pPr>
            <w:r>
              <w:t>10% AEP flow depth</w:t>
            </w:r>
          </w:p>
          <w:p w14:paraId="12A54B53" w14:textId="2FCC643B" w:rsidR="00D16081" w:rsidRDefault="00D16081" w:rsidP="00942C9C">
            <w:pPr>
              <w:spacing w:after="0" w:line="240" w:lineRule="auto"/>
              <w:jc w:val="center"/>
            </w:pPr>
            <w:r>
              <w:t>(ft)</w:t>
            </w:r>
          </w:p>
        </w:tc>
        <w:tc>
          <w:tcPr>
            <w:tcW w:w="1439" w:type="dxa"/>
            <w:vAlign w:val="center"/>
          </w:tcPr>
          <w:p w14:paraId="188B6F9C" w14:textId="77777777" w:rsidR="00D16081" w:rsidRDefault="00D16081" w:rsidP="00942C9C">
            <w:pPr>
              <w:spacing w:after="0"/>
              <w:jc w:val="center"/>
            </w:pPr>
            <w:r>
              <w:t>10% AEP Elev. at Low Point</w:t>
            </w:r>
          </w:p>
          <w:p w14:paraId="6A476D91" w14:textId="014ABED5" w:rsidR="00D16081" w:rsidRDefault="00D16081" w:rsidP="00942C9C">
            <w:pPr>
              <w:spacing w:after="0"/>
              <w:jc w:val="center"/>
            </w:pPr>
            <w:r>
              <w:t>(ft)</w:t>
            </w:r>
          </w:p>
        </w:tc>
        <w:tc>
          <w:tcPr>
            <w:tcW w:w="1713" w:type="dxa"/>
            <w:vAlign w:val="center"/>
          </w:tcPr>
          <w:p w14:paraId="099B9210" w14:textId="7B05BA0D" w:rsidR="00D16081" w:rsidRDefault="00D16081" w:rsidP="00942C9C">
            <w:pPr>
              <w:spacing w:after="0"/>
              <w:jc w:val="center"/>
            </w:pPr>
            <w:r>
              <w:t>Near, Low Edge of Pavement Elev.</w:t>
            </w:r>
          </w:p>
          <w:p w14:paraId="51433947" w14:textId="45DC1D4D" w:rsidR="00D16081" w:rsidRDefault="00D16081" w:rsidP="00942C9C">
            <w:pPr>
              <w:spacing w:after="0"/>
              <w:jc w:val="center"/>
            </w:pPr>
            <w:r>
              <w:t>(ft)</w:t>
            </w:r>
          </w:p>
        </w:tc>
        <w:tc>
          <w:tcPr>
            <w:tcW w:w="2065" w:type="dxa"/>
            <w:vAlign w:val="center"/>
          </w:tcPr>
          <w:p w14:paraId="5A9F9D3F" w14:textId="77777777" w:rsidR="00D16081" w:rsidRDefault="00D16081" w:rsidP="00942C9C">
            <w:pPr>
              <w:spacing w:after="0"/>
              <w:jc w:val="center"/>
            </w:pPr>
            <w:r>
              <w:t>Freeboard Below Near, Low Edge of Pavement</w:t>
            </w:r>
          </w:p>
          <w:p w14:paraId="66D8AE59" w14:textId="4572DB9E" w:rsidR="00D16081" w:rsidRDefault="00D16081" w:rsidP="00942C9C">
            <w:pPr>
              <w:spacing w:after="0"/>
              <w:jc w:val="center"/>
            </w:pPr>
            <w:r>
              <w:t>(ft)</w:t>
            </w:r>
          </w:p>
        </w:tc>
      </w:tr>
      <w:tr w:rsidR="00697210" w14:paraId="65B55063" w14:textId="77777777" w:rsidTr="00D16081">
        <w:trPr>
          <w:trHeight w:val="360"/>
          <w:jc w:val="center"/>
        </w:trPr>
        <w:tc>
          <w:tcPr>
            <w:tcW w:w="1144" w:type="dxa"/>
            <w:vAlign w:val="center"/>
          </w:tcPr>
          <w:p w14:paraId="62A0A865" w14:textId="12B4FF9A" w:rsidR="00697210" w:rsidRDefault="00697210" w:rsidP="00942C9C">
            <w:pPr>
              <w:spacing w:after="0"/>
              <w:jc w:val="center"/>
            </w:pPr>
            <w:r>
              <w:t>Existing</w:t>
            </w:r>
          </w:p>
        </w:tc>
        <w:tc>
          <w:tcPr>
            <w:tcW w:w="1161" w:type="dxa"/>
            <w:vAlign w:val="center"/>
          </w:tcPr>
          <w:p w14:paraId="345CC002" w14:textId="7F3E95D6" w:rsidR="00697210" w:rsidRDefault="00697210" w:rsidP="00D16081">
            <w:pPr>
              <w:spacing w:after="0"/>
              <w:jc w:val="center"/>
            </w:pPr>
            <w:r>
              <w:t>63.29</w:t>
            </w:r>
          </w:p>
        </w:tc>
        <w:tc>
          <w:tcPr>
            <w:tcW w:w="1274" w:type="dxa"/>
            <w:vAlign w:val="center"/>
          </w:tcPr>
          <w:p w14:paraId="75EF8867" w14:textId="1A43C156" w:rsidR="00697210" w:rsidRDefault="00697210" w:rsidP="00D602D5">
            <w:pPr>
              <w:spacing w:after="0"/>
              <w:jc w:val="center"/>
            </w:pPr>
            <w:r>
              <w:t>44.91</w:t>
            </w:r>
          </w:p>
        </w:tc>
        <w:tc>
          <w:tcPr>
            <w:tcW w:w="1274" w:type="dxa"/>
            <w:vAlign w:val="center"/>
          </w:tcPr>
          <w:p w14:paraId="48691085" w14:textId="54204B24" w:rsidR="00697210" w:rsidRDefault="00697210" w:rsidP="00942C9C">
            <w:pPr>
              <w:spacing w:after="0"/>
              <w:jc w:val="center"/>
            </w:pPr>
            <w:r>
              <w:t>1.80</w:t>
            </w:r>
          </w:p>
        </w:tc>
        <w:tc>
          <w:tcPr>
            <w:tcW w:w="1439" w:type="dxa"/>
            <w:vAlign w:val="center"/>
          </w:tcPr>
          <w:p w14:paraId="01AB9264" w14:textId="704296D3" w:rsidR="00697210" w:rsidRDefault="00697210" w:rsidP="00942C9C">
            <w:pPr>
              <w:spacing w:after="0"/>
              <w:jc w:val="center"/>
            </w:pPr>
            <w:r>
              <w:t>626.76</w:t>
            </w:r>
          </w:p>
        </w:tc>
        <w:tc>
          <w:tcPr>
            <w:tcW w:w="1713" w:type="dxa"/>
            <w:vMerge w:val="restart"/>
            <w:vAlign w:val="center"/>
          </w:tcPr>
          <w:p w14:paraId="2E1BB22A" w14:textId="16A61E76" w:rsidR="00697210" w:rsidRDefault="00697210" w:rsidP="00697210">
            <w:pPr>
              <w:spacing w:after="0"/>
              <w:jc w:val="center"/>
            </w:pPr>
            <w:r>
              <w:t>639.05</w:t>
            </w:r>
          </w:p>
        </w:tc>
        <w:tc>
          <w:tcPr>
            <w:tcW w:w="2065" w:type="dxa"/>
            <w:vAlign w:val="center"/>
          </w:tcPr>
          <w:p w14:paraId="386A6BC6" w14:textId="023EAB24" w:rsidR="00697210" w:rsidRDefault="00697210" w:rsidP="00942C9C">
            <w:pPr>
              <w:spacing w:after="0"/>
              <w:jc w:val="center"/>
            </w:pPr>
            <w:r>
              <w:t>12.29</w:t>
            </w:r>
          </w:p>
        </w:tc>
      </w:tr>
      <w:tr w:rsidR="00697210" w14:paraId="64AFA90D" w14:textId="77777777" w:rsidTr="00D16081">
        <w:trPr>
          <w:trHeight w:val="360"/>
          <w:jc w:val="center"/>
        </w:trPr>
        <w:tc>
          <w:tcPr>
            <w:tcW w:w="1144" w:type="dxa"/>
            <w:vAlign w:val="center"/>
          </w:tcPr>
          <w:p w14:paraId="77D9CE69" w14:textId="025BF30B" w:rsidR="00697210" w:rsidRDefault="00697210" w:rsidP="00942C9C">
            <w:pPr>
              <w:spacing w:after="0"/>
              <w:jc w:val="center"/>
            </w:pPr>
            <w:r>
              <w:t>Proposed</w:t>
            </w:r>
          </w:p>
        </w:tc>
        <w:tc>
          <w:tcPr>
            <w:tcW w:w="1161" w:type="dxa"/>
            <w:vAlign w:val="center"/>
          </w:tcPr>
          <w:p w14:paraId="7E5C086E" w14:textId="0B5E48D0" w:rsidR="00697210" w:rsidRDefault="00697210" w:rsidP="00D16081">
            <w:pPr>
              <w:spacing w:after="0"/>
              <w:jc w:val="center"/>
            </w:pPr>
            <w:r>
              <w:t>70.09</w:t>
            </w:r>
          </w:p>
        </w:tc>
        <w:tc>
          <w:tcPr>
            <w:tcW w:w="1274" w:type="dxa"/>
            <w:vAlign w:val="center"/>
          </w:tcPr>
          <w:p w14:paraId="7BE64F7E" w14:textId="25EFDF73" w:rsidR="00697210" w:rsidRDefault="00697210" w:rsidP="00D602D5">
            <w:pPr>
              <w:spacing w:after="0"/>
              <w:jc w:val="center"/>
            </w:pPr>
            <w:r>
              <w:t>54.49</w:t>
            </w:r>
          </w:p>
        </w:tc>
        <w:tc>
          <w:tcPr>
            <w:tcW w:w="1274" w:type="dxa"/>
            <w:vAlign w:val="center"/>
          </w:tcPr>
          <w:p w14:paraId="79D09A49" w14:textId="58ACE552" w:rsidR="00697210" w:rsidRDefault="00697210" w:rsidP="00942C9C">
            <w:pPr>
              <w:spacing w:after="0"/>
              <w:jc w:val="center"/>
            </w:pPr>
            <w:r>
              <w:t>1.98</w:t>
            </w:r>
          </w:p>
        </w:tc>
        <w:tc>
          <w:tcPr>
            <w:tcW w:w="1439" w:type="dxa"/>
            <w:vAlign w:val="center"/>
          </w:tcPr>
          <w:p w14:paraId="52BBE45F" w14:textId="780315EC" w:rsidR="00697210" w:rsidRDefault="00697210" w:rsidP="00942C9C">
            <w:pPr>
              <w:spacing w:after="0"/>
              <w:jc w:val="center"/>
            </w:pPr>
            <w:r>
              <w:t>626.94</w:t>
            </w:r>
          </w:p>
        </w:tc>
        <w:tc>
          <w:tcPr>
            <w:tcW w:w="1713" w:type="dxa"/>
            <w:vMerge/>
            <w:vAlign w:val="center"/>
          </w:tcPr>
          <w:p w14:paraId="0D34E21D" w14:textId="70449032" w:rsidR="00697210" w:rsidRDefault="00697210" w:rsidP="00942C9C">
            <w:pPr>
              <w:spacing w:after="0"/>
              <w:jc w:val="center"/>
            </w:pPr>
          </w:p>
        </w:tc>
        <w:tc>
          <w:tcPr>
            <w:tcW w:w="2065" w:type="dxa"/>
            <w:vAlign w:val="center"/>
          </w:tcPr>
          <w:p w14:paraId="7E497F90" w14:textId="75C1E353" w:rsidR="00697210" w:rsidRDefault="00697210" w:rsidP="00942C9C">
            <w:pPr>
              <w:spacing w:after="0"/>
              <w:jc w:val="center"/>
            </w:pPr>
            <w:r>
              <w:t>12.11</w:t>
            </w:r>
          </w:p>
        </w:tc>
      </w:tr>
    </w:tbl>
    <w:p w14:paraId="30E4B444" w14:textId="31EAC45D" w:rsidR="00EB3E17" w:rsidRDefault="00D602D5" w:rsidP="00D602D5">
      <w:pPr>
        <w:spacing w:before="120"/>
      </w:pPr>
      <w:r>
        <w:t xml:space="preserve">The additional flow from the proposed parking lot does increase the flow depth, but it is still well below the near, low edge of pavement and exceeds the 1-foot requirement in the ODOT L&amp;D Volume 2. The existing ditch has sufficient capacity to adequately convey the 10% AEP design storm for the proposed condition. The existing ditch also has a concrete lining that is in good condition and will not </w:t>
      </w:r>
      <w:r w:rsidR="00D16081">
        <w:t>need</w:t>
      </w:r>
      <w:r>
        <w:t xml:space="preserve"> improvements.</w:t>
      </w:r>
    </w:p>
    <w:p w14:paraId="1AFB31E8" w14:textId="450F4E24" w:rsidR="00D9502B" w:rsidRDefault="00EB3E17">
      <w:r>
        <w:t>We analyzed the culvert in HY-8 using a 4% AEP design storm and a 1% AEP design check storm</w:t>
      </w:r>
      <w:r w:rsidR="00D16081">
        <w:t xml:space="preserve"> with those flows calculated from the drainage areas shown in the ditch summary table above</w:t>
      </w:r>
      <w:r>
        <w:t>. The following table summarizes</w:t>
      </w:r>
      <w:r w:rsidR="00D602D5">
        <w:t xml:space="preserve"> the</w:t>
      </w:r>
      <w:r>
        <w:t xml:space="preserve"> culvert </w:t>
      </w:r>
      <w:r w:rsidR="00D602D5">
        <w:t>calculations</w:t>
      </w:r>
      <w:r w:rsidR="00D16081">
        <w:t xml:space="preserve"> for the 4% AEP design storm</w:t>
      </w:r>
      <w:r>
        <w:t>:</w:t>
      </w:r>
    </w:p>
    <w:tbl>
      <w:tblPr>
        <w:tblStyle w:val="TableGrid"/>
        <w:tblW w:w="0" w:type="auto"/>
        <w:jc w:val="center"/>
        <w:tblLook w:val="04A0" w:firstRow="1" w:lastRow="0" w:firstColumn="1" w:lastColumn="0" w:noHBand="0" w:noVBand="1"/>
      </w:tblPr>
      <w:tblGrid>
        <w:gridCol w:w="1165"/>
        <w:gridCol w:w="1440"/>
        <w:gridCol w:w="1440"/>
        <w:gridCol w:w="1890"/>
        <w:gridCol w:w="2340"/>
      </w:tblGrid>
      <w:tr w:rsidR="00D16081" w14:paraId="5C0197B6" w14:textId="77777777" w:rsidTr="00E364D0">
        <w:trPr>
          <w:trHeight w:val="539"/>
          <w:jc w:val="center"/>
        </w:trPr>
        <w:tc>
          <w:tcPr>
            <w:tcW w:w="1165" w:type="dxa"/>
            <w:vAlign w:val="center"/>
          </w:tcPr>
          <w:p w14:paraId="60233F11" w14:textId="77777777" w:rsidR="00D16081" w:rsidRDefault="00D16081" w:rsidP="00E364D0">
            <w:pPr>
              <w:spacing w:after="0"/>
              <w:jc w:val="center"/>
            </w:pPr>
            <w:r>
              <w:lastRenderedPageBreak/>
              <w:t>Model</w:t>
            </w:r>
          </w:p>
        </w:tc>
        <w:tc>
          <w:tcPr>
            <w:tcW w:w="1440" w:type="dxa"/>
            <w:vAlign w:val="center"/>
          </w:tcPr>
          <w:p w14:paraId="4337644A" w14:textId="74EC3115" w:rsidR="00D16081" w:rsidRDefault="00D16081" w:rsidP="00E364D0">
            <w:pPr>
              <w:spacing w:after="0" w:line="240" w:lineRule="auto"/>
              <w:jc w:val="center"/>
            </w:pPr>
            <w:r>
              <w:t>4% AEP flow</w:t>
            </w:r>
          </w:p>
          <w:p w14:paraId="3F0F410D" w14:textId="77777777" w:rsidR="00D16081" w:rsidRDefault="00D16081" w:rsidP="00E364D0">
            <w:pPr>
              <w:spacing w:after="0" w:line="240" w:lineRule="auto"/>
              <w:jc w:val="center"/>
            </w:pPr>
            <w:r>
              <w:t>(cfs)</w:t>
            </w:r>
          </w:p>
        </w:tc>
        <w:tc>
          <w:tcPr>
            <w:tcW w:w="1440" w:type="dxa"/>
            <w:vAlign w:val="center"/>
          </w:tcPr>
          <w:p w14:paraId="473F6537" w14:textId="118A734D" w:rsidR="00D16081" w:rsidRDefault="00D16081" w:rsidP="00E364D0">
            <w:pPr>
              <w:spacing w:after="0" w:line="240" w:lineRule="auto"/>
              <w:jc w:val="center"/>
            </w:pPr>
            <w:r>
              <w:t>4% AEP HW Elev.</w:t>
            </w:r>
          </w:p>
          <w:p w14:paraId="661AD27C" w14:textId="77777777" w:rsidR="00D16081" w:rsidRDefault="00D16081" w:rsidP="00E364D0">
            <w:pPr>
              <w:spacing w:after="0" w:line="240" w:lineRule="auto"/>
              <w:jc w:val="center"/>
            </w:pPr>
            <w:r>
              <w:t>(ft)</w:t>
            </w:r>
          </w:p>
        </w:tc>
        <w:tc>
          <w:tcPr>
            <w:tcW w:w="1890" w:type="dxa"/>
            <w:vAlign w:val="center"/>
          </w:tcPr>
          <w:p w14:paraId="4821A1DC" w14:textId="77777777" w:rsidR="00D16081" w:rsidRDefault="00D16081" w:rsidP="00E364D0">
            <w:pPr>
              <w:spacing w:after="0"/>
              <w:jc w:val="center"/>
            </w:pPr>
            <w:r>
              <w:t>Near, Low Edge of Pavement Elev.</w:t>
            </w:r>
          </w:p>
          <w:p w14:paraId="4D4B46BE" w14:textId="77777777" w:rsidR="00D16081" w:rsidRDefault="00D16081" w:rsidP="00E364D0">
            <w:pPr>
              <w:spacing w:after="0"/>
              <w:jc w:val="center"/>
            </w:pPr>
            <w:r>
              <w:t>(ft)</w:t>
            </w:r>
          </w:p>
        </w:tc>
        <w:tc>
          <w:tcPr>
            <w:tcW w:w="2340" w:type="dxa"/>
            <w:vAlign w:val="center"/>
          </w:tcPr>
          <w:p w14:paraId="5BE5CE59" w14:textId="77777777" w:rsidR="00D16081" w:rsidRDefault="00D16081" w:rsidP="00E364D0">
            <w:pPr>
              <w:spacing w:after="0"/>
              <w:jc w:val="center"/>
            </w:pPr>
            <w:r>
              <w:t>Freeboard Below Near, Low Edge of Pavement</w:t>
            </w:r>
          </w:p>
          <w:p w14:paraId="1A2A18AE" w14:textId="77777777" w:rsidR="00D16081" w:rsidRDefault="00D16081" w:rsidP="00E364D0">
            <w:pPr>
              <w:spacing w:after="0"/>
              <w:jc w:val="center"/>
            </w:pPr>
            <w:r>
              <w:t>(ft)</w:t>
            </w:r>
          </w:p>
        </w:tc>
      </w:tr>
      <w:tr w:rsidR="00697210" w14:paraId="110C7A99" w14:textId="77777777" w:rsidTr="00E364D0">
        <w:trPr>
          <w:trHeight w:val="360"/>
          <w:jc w:val="center"/>
        </w:trPr>
        <w:tc>
          <w:tcPr>
            <w:tcW w:w="1165" w:type="dxa"/>
            <w:vAlign w:val="center"/>
          </w:tcPr>
          <w:p w14:paraId="44260C6A" w14:textId="77777777" w:rsidR="00697210" w:rsidRDefault="00697210" w:rsidP="00E364D0">
            <w:pPr>
              <w:spacing w:after="0"/>
              <w:jc w:val="center"/>
            </w:pPr>
            <w:r>
              <w:t>Existing</w:t>
            </w:r>
          </w:p>
        </w:tc>
        <w:tc>
          <w:tcPr>
            <w:tcW w:w="1440" w:type="dxa"/>
            <w:vAlign w:val="center"/>
          </w:tcPr>
          <w:p w14:paraId="02B71C8C" w14:textId="4ADF1C61" w:rsidR="00697210" w:rsidRDefault="00697210" w:rsidP="00E364D0">
            <w:pPr>
              <w:spacing w:after="0"/>
              <w:jc w:val="center"/>
            </w:pPr>
            <w:r>
              <w:t>55.79</w:t>
            </w:r>
          </w:p>
        </w:tc>
        <w:tc>
          <w:tcPr>
            <w:tcW w:w="1440" w:type="dxa"/>
            <w:vAlign w:val="center"/>
          </w:tcPr>
          <w:p w14:paraId="45CED8C3" w14:textId="1312BFE6" w:rsidR="00697210" w:rsidRDefault="00697210" w:rsidP="00E364D0">
            <w:pPr>
              <w:spacing w:after="0"/>
              <w:jc w:val="center"/>
            </w:pPr>
            <w:r>
              <w:t>628.77</w:t>
            </w:r>
          </w:p>
        </w:tc>
        <w:tc>
          <w:tcPr>
            <w:tcW w:w="1890" w:type="dxa"/>
            <w:vMerge w:val="restart"/>
            <w:vAlign w:val="center"/>
          </w:tcPr>
          <w:p w14:paraId="64D2DFB2" w14:textId="6D8C3B4B" w:rsidR="00697210" w:rsidRDefault="00697210" w:rsidP="00697210">
            <w:pPr>
              <w:spacing w:after="0"/>
              <w:jc w:val="center"/>
            </w:pPr>
            <w:r>
              <w:t>639.05</w:t>
            </w:r>
          </w:p>
        </w:tc>
        <w:tc>
          <w:tcPr>
            <w:tcW w:w="2340" w:type="dxa"/>
            <w:vAlign w:val="center"/>
          </w:tcPr>
          <w:p w14:paraId="08DC9353" w14:textId="1E7C7605" w:rsidR="00697210" w:rsidRDefault="00697210" w:rsidP="00E364D0">
            <w:pPr>
              <w:spacing w:after="0"/>
              <w:jc w:val="center"/>
            </w:pPr>
            <w:r>
              <w:t>10.28</w:t>
            </w:r>
          </w:p>
        </w:tc>
      </w:tr>
      <w:tr w:rsidR="00697210" w14:paraId="7924AE24" w14:textId="77777777" w:rsidTr="00E364D0">
        <w:trPr>
          <w:trHeight w:val="360"/>
          <w:jc w:val="center"/>
        </w:trPr>
        <w:tc>
          <w:tcPr>
            <w:tcW w:w="1165" w:type="dxa"/>
            <w:vAlign w:val="center"/>
          </w:tcPr>
          <w:p w14:paraId="26C7EFD6" w14:textId="77777777" w:rsidR="00697210" w:rsidRDefault="00697210" w:rsidP="00E364D0">
            <w:pPr>
              <w:spacing w:after="0"/>
              <w:jc w:val="center"/>
            </w:pPr>
            <w:r>
              <w:t>Proposed</w:t>
            </w:r>
          </w:p>
        </w:tc>
        <w:tc>
          <w:tcPr>
            <w:tcW w:w="1440" w:type="dxa"/>
            <w:vAlign w:val="center"/>
          </w:tcPr>
          <w:p w14:paraId="5F48BDAE" w14:textId="6D35EE27" w:rsidR="00697210" w:rsidRDefault="00697210" w:rsidP="00E364D0">
            <w:pPr>
              <w:spacing w:after="0"/>
              <w:jc w:val="center"/>
            </w:pPr>
            <w:r>
              <w:t>67.53</w:t>
            </w:r>
          </w:p>
        </w:tc>
        <w:tc>
          <w:tcPr>
            <w:tcW w:w="1440" w:type="dxa"/>
            <w:vAlign w:val="center"/>
          </w:tcPr>
          <w:p w14:paraId="04A1AD5B" w14:textId="3FA01AD3" w:rsidR="00697210" w:rsidRDefault="00697210" w:rsidP="00E364D0">
            <w:pPr>
              <w:spacing w:after="0"/>
              <w:jc w:val="center"/>
            </w:pPr>
            <w:r>
              <w:t>629.32</w:t>
            </w:r>
          </w:p>
        </w:tc>
        <w:tc>
          <w:tcPr>
            <w:tcW w:w="1890" w:type="dxa"/>
            <w:vMerge/>
            <w:vAlign w:val="center"/>
          </w:tcPr>
          <w:p w14:paraId="70B89A13" w14:textId="40733CAF" w:rsidR="00697210" w:rsidRDefault="00697210" w:rsidP="00E364D0">
            <w:pPr>
              <w:spacing w:after="0"/>
              <w:jc w:val="center"/>
            </w:pPr>
          </w:p>
        </w:tc>
        <w:tc>
          <w:tcPr>
            <w:tcW w:w="2340" w:type="dxa"/>
            <w:vAlign w:val="center"/>
          </w:tcPr>
          <w:p w14:paraId="74FBC0E9" w14:textId="25FB2DF9" w:rsidR="00697210" w:rsidRDefault="00697210" w:rsidP="00E364D0">
            <w:pPr>
              <w:spacing w:after="0"/>
              <w:jc w:val="center"/>
            </w:pPr>
            <w:r>
              <w:t>9.73</w:t>
            </w:r>
          </w:p>
        </w:tc>
      </w:tr>
    </w:tbl>
    <w:p w14:paraId="4A3D531B" w14:textId="77359A3C" w:rsidR="00D602D5" w:rsidRDefault="00D16081" w:rsidP="00D16081">
      <w:pPr>
        <w:spacing w:before="120"/>
      </w:pPr>
      <w:r>
        <w:t>The additional flow from the proposed parking lot does increase the 4% AEP design storm HW elevation, but it is still well below the near, low edge of pavement and exceeds the 1-foot requirement in the ODOT L&amp;D Volume 2.</w:t>
      </w:r>
    </w:p>
    <w:p w14:paraId="45B456B3" w14:textId="1592DBF8" w:rsidR="00D16081" w:rsidRDefault="00D16081" w:rsidP="00420CBB">
      <w:r>
        <w:t>The following table summarizes the culvert calculations for the 1% AEP check storm:</w:t>
      </w:r>
    </w:p>
    <w:tbl>
      <w:tblPr>
        <w:tblStyle w:val="TableGrid"/>
        <w:tblW w:w="0" w:type="auto"/>
        <w:jc w:val="center"/>
        <w:tblLook w:val="04A0" w:firstRow="1" w:lastRow="0" w:firstColumn="1" w:lastColumn="0" w:noHBand="0" w:noVBand="1"/>
      </w:tblPr>
      <w:tblGrid>
        <w:gridCol w:w="1165"/>
        <w:gridCol w:w="1440"/>
        <w:gridCol w:w="1440"/>
        <w:gridCol w:w="1886"/>
        <w:gridCol w:w="1886"/>
        <w:gridCol w:w="1886"/>
      </w:tblGrid>
      <w:tr w:rsidR="00697210" w14:paraId="0B1F2155" w14:textId="069DA171" w:rsidTr="00697210">
        <w:trPr>
          <w:trHeight w:val="533"/>
          <w:jc w:val="center"/>
        </w:trPr>
        <w:tc>
          <w:tcPr>
            <w:tcW w:w="1165" w:type="dxa"/>
            <w:vAlign w:val="center"/>
          </w:tcPr>
          <w:p w14:paraId="3250D0D3" w14:textId="77777777" w:rsidR="00697210" w:rsidRDefault="00697210" w:rsidP="00E364D0">
            <w:pPr>
              <w:spacing w:after="0"/>
              <w:jc w:val="center"/>
            </w:pPr>
            <w:r>
              <w:t>Model</w:t>
            </w:r>
          </w:p>
        </w:tc>
        <w:tc>
          <w:tcPr>
            <w:tcW w:w="1440" w:type="dxa"/>
            <w:vAlign w:val="center"/>
          </w:tcPr>
          <w:p w14:paraId="6167F8FB" w14:textId="76132924" w:rsidR="00697210" w:rsidRDefault="00697210" w:rsidP="00E364D0">
            <w:pPr>
              <w:spacing w:after="0" w:line="240" w:lineRule="auto"/>
              <w:jc w:val="center"/>
            </w:pPr>
            <w:r>
              <w:t>1% AEP flow</w:t>
            </w:r>
          </w:p>
          <w:p w14:paraId="6CC79637" w14:textId="77777777" w:rsidR="00697210" w:rsidRDefault="00697210" w:rsidP="00E364D0">
            <w:pPr>
              <w:spacing w:after="0" w:line="240" w:lineRule="auto"/>
              <w:jc w:val="center"/>
            </w:pPr>
            <w:r>
              <w:t>(cfs)</w:t>
            </w:r>
          </w:p>
        </w:tc>
        <w:tc>
          <w:tcPr>
            <w:tcW w:w="1440" w:type="dxa"/>
            <w:vAlign w:val="center"/>
          </w:tcPr>
          <w:p w14:paraId="3FDA9E70" w14:textId="13DAB059" w:rsidR="00697210" w:rsidRDefault="00697210" w:rsidP="00E364D0">
            <w:pPr>
              <w:spacing w:after="0" w:line="240" w:lineRule="auto"/>
              <w:jc w:val="center"/>
            </w:pPr>
            <w:r>
              <w:t>1% AEP HW Elev.</w:t>
            </w:r>
          </w:p>
          <w:p w14:paraId="40FCFC3D" w14:textId="77777777" w:rsidR="00697210" w:rsidRDefault="00697210" w:rsidP="00697210">
            <w:pPr>
              <w:spacing w:after="0"/>
              <w:jc w:val="center"/>
            </w:pPr>
            <w:r>
              <w:t>(ft)</w:t>
            </w:r>
          </w:p>
        </w:tc>
        <w:tc>
          <w:tcPr>
            <w:tcW w:w="1886" w:type="dxa"/>
            <w:vAlign w:val="center"/>
          </w:tcPr>
          <w:p w14:paraId="52C549BD" w14:textId="77777777" w:rsidR="00697210" w:rsidRDefault="00697210" w:rsidP="00D16081">
            <w:pPr>
              <w:spacing w:after="0" w:line="240" w:lineRule="auto"/>
              <w:jc w:val="center"/>
            </w:pPr>
            <w:r>
              <w:t>Near, Low Edge of Pavement Elev.</w:t>
            </w:r>
          </w:p>
          <w:p w14:paraId="638D649D" w14:textId="4E3E52FD" w:rsidR="00697210" w:rsidRDefault="00697210" w:rsidP="00697210">
            <w:pPr>
              <w:spacing w:after="0"/>
              <w:jc w:val="center"/>
            </w:pPr>
            <w:r>
              <w:t>(ft)</w:t>
            </w:r>
          </w:p>
        </w:tc>
        <w:tc>
          <w:tcPr>
            <w:tcW w:w="1886" w:type="dxa"/>
            <w:vAlign w:val="center"/>
          </w:tcPr>
          <w:p w14:paraId="2DFDB3C6" w14:textId="77777777" w:rsidR="00697210" w:rsidRDefault="00697210" w:rsidP="00697210">
            <w:pPr>
              <w:spacing w:after="0"/>
              <w:jc w:val="center"/>
            </w:pPr>
            <w:r>
              <w:t>Marathon Lowest Building Elev.</w:t>
            </w:r>
          </w:p>
          <w:p w14:paraId="38C73A17" w14:textId="22E21180" w:rsidR="00697210" w:rsidRDefault="00697210" w:rsidP="00697210">
            <w:pPr>
              <w:spacing w:after="0"/>
              <w:jc w:val="center"/>
            </w:pPr>
            <w:r>
              <w:t>(ft)</w:t>
            </w:r>
          </w:p>
        </w:tc>
        <w:tc>
          <w:tcPr>
            <w:tcW w:w="1886" w:type="dxa"/>
            <w:vAlign w:val="center"/>
          </w:tcPr>
          <w:p w14:paraId="0AFE0B95" w14:textId="77777777" w:rsidR="00697210" w:rsidRDefault="00697210" w:rsidP="00697210">
            <w:pPr>
              <w:spacing w:after="0"/>
              <w:jc w:val="center"/>
            </w:pPr>
            <w:r>
              <w:t>TP Site 6 Parking Lot Low Elev.</w:t>
            </w:r>
          </w:p>
          <w:p w14:paraId="68471CAD" w14:textId="7588CF51" w:rsidR="00697210" w:rsidRDefault="00697210" w:rsidP="00697210">
            <w:pPr>
              <w:spacing w:after="0"/>
              <w:jc w:val="center"/>
            </w:pPr>
            <w:r>
              <w:t>(ft)</w:t>
            </w:r>
          </w:p>
        </w:tc>
      </w:tr>
      <w:tr w:rsidR="00697210" w14:paraId="15139772" w14:textId="43236988" w:rsidTr="00697210">
        <w:trPr>
          <w:trHeight w:val="360"/>
          <w:jc w:val="center"/>
        </w:trPr>
        <w:tc>
          <w:tcPr>
            <w:tcW w:w="1165" w:type="dxa"/>
            <w:vAlign w:val="center"/>
          </w:tcPr>
          <w:p w14:paraId="444E7419" w14:textId="77777777" w:rsidR="00697210" w:rsidRDefault="00697210" w:rsidP="00E364D0">
            <w:pPr>
              <w:spacing w:after="0"/>
              <w:jc w:val="center"/>
            </w:pPr>
            <w:r>
              <w:t>Existing</w:t>
            </w:r>
          </w:p>
        </w:tc>
        <w:tc>
          <w:tcPr>
            <w:tcW w:w="1440" w:type="dxa"/>
            <w:vAlign w:val="center"/>
          </w:tcPr>
          <w:p w14:paraId="10C8C218" w14:textId="7ECCB73F" w:rsidR="00697210" w:rsidRDefault="00697210" w:rsidP="00E364D0">
            <w:pPr>
              <w:spacing w:after="0"/>
              <w:jc w:val="center"/>
            </w:pPr>
            <w:r>
              <w:t>67.22</w:t>
            </w:r>
          </w:p>
        </w:tc>
        <w:tc>
          <w:tcPr>
            <w:tcW w:w="1440" w:type="dxa"/>
            <w:vAlign w:val="center"/>
          </w:tcPr>
          <w:p w14:paraId="00CAD27D" w14:textId="649513BF" w:rsidR="00697210" w:rsidRDefault="00697210" w:rsidP="00E364D0">
            <w:pPr>
              <w:spacing w:after="0"/>
              <w:jc w:val="center"/>
            </w:pPr>
            <w:r>
              <w:t>629.31</w:t>
            </w:r>
          </w:p>
        </w:tc>
        <w:tc>
          <w:tcPr>
            <w:tcW w:w="1886" w:type="dxa"/>
            <w:vMerge w:val="restart"/>
            <w:vAlign w:val="center"/>
          </w:tcPr>
          <w:p w14:paraId="2E77B8BC" w14:textId="088A6162" w:rsidR="00697210" w:rsidRDefault="00697210" w:rsidP="00697210">
            <w:pPr>
              <w:spacing w:after="0"/>
              <w:jc w:val="center"/>
            </w:pPr>
            <w:r>
              <w:t>639.05</w:t>
            </w:r>
          </w:p>
        </w:tc>
        <w:tc>
          <w:tcPr>
            <w:tcW w:w="1886" w:type="dxa"/>
            <w:vMerge w:val="restart"/>
            <w:vAlign w:val="center"/>
          </w:tcPr>
          <w:p w14:paraId="1C914D70" w14:textId="121E6833" w:rsidR="00697210" w:rsidRDefault="00697210" w:rsidP="00697210">
            <w:pPr>
              <w:spacing w:after="0"/>
              <w:jc w:val="center"/>
            </w:pPr>
            <w:r>
              <w:t>639.15</w:t>
            </w:r>
            <w:r>
              <w:rPr>
                <w:rFonts w:cs="Arial"/>
              </w:rPr>
              <w:t>±</w:t>
            </w:r>
          </w:p>
        </w:tc>
        <w:tc>
          <w:tcPr>
            <w:tcW w:w="1886" w:type="dxa"/>
            <w:vMerge w:val="restart"/>
            <w:vAlign w:val="center"/>
          </w:tcPr>
          <w:p w14:paraId="409464E5" w14:textId="13F964A7" w:rsidR="00697210" w:rsidRDefault="00697210" w:rsidP="00697210">
            <w:pPr>
              <w:spacing w:after="0"/>
              <w:jc w:val="center"/>
            </w:pPr>
            <w:r>
              <w:t>630.20</w:t>
            </w:r>
          </w:p>
        </w:tc>
      </w:tr>
      <w:tr w:rsidR="00697210" w14:paraId="40D42100" w14:textId="571DBDD6" w:rsidTr="00697210">
        <w:trPr>
          <w:trHeight w:val="360"/>
          <w:jc w:val="center"/>
        </w:trPr>
        <w:tc>
          <w:tcPr>
            <w:tcW w:w="1165" w:type="dxa"/>
            <w:vAlign w:val="center"/>
          </w:tcPr>
          <w:p w14:paraId="2BA5BFFD" w14:textId="77777777" w:rsidR="00697210" w:rsidRDefault="00697210" w:rsidP="00E364D0">
            <w:pPr>
              <w:spacing w:after="0"/>
              <w:jc w:val="center"/>
            </w:pPr>
            <w:r>
              <w:t>Proposed</w:t>
            </w:r>
          </w:p>
        </w:tc>
        <w:tc>
          <w:tcPr>
            <w:tcW w:w="1440" w:type="dxa"/>
            <w:vAlign w:val="center"/>
          </w:tcPr>
          <w:p w14:paraId="10C32302" w14:textId="6D650E7C" w:rsidR="00697210" w:rsidRDefault="00697210" w:rsidP="00E364D0">
            <w:pPr>
              <w:spacing w:after="0"/>
              <w:jc w:val="center"/>
            </w:pPr>
            <w:r>
              <w:t>81.37</w:t>
            </w:r>
          </w:p>
        </w:tc>
        <w:tc>
          <w:tcPr>
            <w:tcW w:w="1440" w:type="dxa"/>
            <w:vAlign w:val="center"/>
          </w:tcPr>
          <w:p w14:paraId="2922ABE4" w14:textId="3B959834" w:rsidR="00697210" w:rsidRDefault="00697210" w:rsidP="00E364D0">
            <w:pPr>
              <w:spacing w:after="0"/>
              <w:jc w:val="center"/>
            </w:pPr>
            <w:r>
              <w:t>630.14</w:t>
            </w:r>
          </w:p>
        </w:tc>
        <w:tc>
          <w:tcPr>
            <w:tcW w:w="1886" w:type="dxa"/>
            <w:vMerge/>
            <w:vAlign w:val="center"/>
          </w:tcPr>
          <w:p w14:paraId="59B57DA3" w14:textId="020E3172" w:rsidR="00697210" w:rsidRDefault="00697210" w:rsidP="00D16081">
            <w:pPr>
              <w:spacing w:after="0"/>
              <w:jc w:val="center"/>
            </w:pPr>
          </w:p>
        </w:tc>
        <w:tc>
          <w:tcPr>
            <w:tcW w:w="1886" w:type="dxa"/>
            <w:vMerge/>
            <w:vAlign w:val="center"/>
          </w:tcPr>
          <w:p w14:paraId="3123FEBB" w14:textId="77777777" w:rsidR="00697210" w:rsidRDefault="00697210" w:rsidP="00697210">
            <w:pPr>
              <w:spacing w:after="0"/>
              <w:jc w:val="center"/>
            </w:pPr>
          </w:p>
        </w:tc>
        <w:tc>
          <w:tcPr>
            <w:tcW w:w="1886" w:type="dxa"/>
            <w:vMerge/>
            <w:vAlign w:val="center"/>
          </w:tcPr>
          <w:p w14:paraId="2B089243" w14:textId="77777777" w:rsidR="00697210" w:rsidRDefault="00697210" w:rsidP="00697210">
            <w:pPr>
              <w:spacing w:after="0"/>
              <w:jc w:val="center"/>
            </w:pPr>
          </w:p>
        </w:tc>
      </w:tr>
    </w:tbl>
    <w:p w14:paraId="77FAEC43" w14:textId="77777777" w:rsidR="00FF4BFC" w:rsidRDefault="00D16081" w:rsidP="00D16081">
      <w:pPr>
        <w:spacing w:before="120"/>
      </w:pPr>
      <w:r>
        <w:t>The additional flow from the proposed parking lot does increase the 1% AEP check storm HW elevation, but it will not impact any surrounding buildings or infrastructure</w:t>
      </w:r>
      <w:r w:rsidR="00697210">
        <w:t>. The existing culvert has sufficient capacity to adequately convey the 4% AEP design and 1% AEP check storms.</w:t>
      </w:r>
    </w:p>
    <w:p w14:paraId="3921E737" w14:textId="67D315F7" w:rsidR="00E63C9F" w:rsidRDefault="00E63C9F" w:rsidP="00D16081">
      <w:pPr>
        <w:spacing w:before="120"/>
        <w:rPr>
          <w:b/>
          <w:bCs/>
        </w:rPr>
      </w:pPr>
      <w:r>
        <w:rPr>
          <w:b/>
          <w:bCs/>
        </w:rPr>
        <w:t>BMP</w:t>
      </w:r>
    </w:p>
    <w:p w14:paraId="26555455" w14:textId="49213B56" w:rsidR="00D16081" w:rsidRDefault="00420CBB" w:rsidP="002671CE">
      <w:r>
        <w:t>The project EDA for TP Site 6 is 4.26 acres. The entire site is within existing ODOT right-of-way, therefore, only water quality treatment is required. The treatment percentage is 20% resulting in a treatment requirement of 0.85 acres. Sloping the proposed parking lot from east to west closely matches existing conditions and is the preferred layout. This is too much pavement for a vegetated filter strip</w:t>
      </w:r>
      <w:r w:rsidR="000F0F67">
        <w:t xml:space="preserve"> adjacent to the parking lot</w:t>
      </w:r>
      <w:r>
        <w:t>, so a</w:t>
      </w:r>
      <w:r w:rsidR="000F0F67">
        <w:t xml:space="preserve"> vegetated filter strip is proposed on the south side of US-50 directly north of </w:t>
      </w:r>
      <w:r w:rsidR="0018062F">
        <w:t>TP Site 6</w:t>
      </w:r>
      <w:r>
        <w:t xml:space="preserve">. </w:t>
      </w:r>
      <w:r w:rsidR="000F0F67">
        <w:t>A vegetated filter strip is preferable for water quality treatment due to less required maintenance and reduced installation costs when compared to a manufactured system. The vegetated filter strip provide 0.86 acres of treatment which satisfies the required treatment.</w:t>
      </w:r>
    </w:p>
    <w:p w14:paraId="1BA49F93" w14:textId="77777777" w:rsidR="00EB3E17" w:rsidRPr="00046522" w:rsidRDefault="00EB3E17"/>
    <w:sectPr w:rsidR="00EB3E17" w:rsidRPr="00046522" w:rsidSect="00034CDD">
      <w:headerReference w:type="even" r:id="rId10"/>
      <w:headerReference w:type="default" r:id="rId11"/>
      <w:footerReference w:type="even" r:id="rId12"/>
      <w:footerReference w:type="default" r:id="rId13"/>
      <w:headerReference w:type="first" r:id="rId14"/>
      <w:footerReference w:type="first" r:id="rId15"/>
      <w:pgSz w:w="12240" w:h="15840"/>
      <w:pgMar w:top="1800" w:right="1080" w:bottom="1080" w:left="1080" w:header="936" w:footer="50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99098" w14:textId="77777777" w:rsidR="00620CE1" w:rsidRDefault="00620CE1" w:rsidP="0050238E">
      <w:pPr>
        <w:spacing w:after="0" w:line="240" w:lineRule="auto"/>
      </w:pPr>
      <w:r>
        <w:separator/>
      </w:r>
    </w:p>
  </w:endnote>
  <w:endnote w:type="continuationSeparator" w:id="0">
    <w:p w14:paraId="01707AE4" w14:textId="77777777" w:rsidR="00620CE1" w:rsidRDefault="00620CE1" w:rsidP="00502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0CECD" w14:textId="77777777" w:rsidR="000F0F67" w:rsidRDefault="000F0F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4D8FA" w14:textId="77777777" w:rsidR="0050238E" w:rsidRPr="001926A7" w:rsidRDefault="0050238E" w:rsidP="00DA5046">
    <w:pPr>
      <w:tabs>
        <w:tab w:val="right" w:pos="10080"/>
      </w:tabs>
      <w:rPr>
        <w:rFonts w:cs="Arial"/>
        <w:sz w:val="16"/>
        <w:szCs w:val="16"/>
      </w:rPr>
    </w:pPr>
    <w:r w:rsidRPr="001926A7">
      <w:rPr>
        <w:rFonts w:cs="Arial"/>
        <w:color w:val="E4610F" w:themeColor="accent1"/>
        <w:sz w:val="16"/>
        <w:szCs w:val="16"/>
      </w:rPr>
      <w:t>www.arcadis.com</w:t>
    </w:r>
    <w:r w:rsidRPr="001926A7">
      <w:rPr>
        <w:rFonts w:cs="Arial"/>
        <w:sz w:val="16"/>
        <w:szCs w:val="16"/>
      </w:rPr>
      <w:tab/>
    </w:r>
    <w:r w:rsidRPr="001926A7">
      <w:rPr>
        <w:rFonts w:cs="Arial"/>
        <w:sz w:val="16"/>
        <w:szCs w:val="16"/>
      </w:rPr>
      <w:fldChar w:fldCharType="begin"/>
    </w:r>
    <w:r w:rsidRPr="001926A7">
      <w:rPr>
        <w:rFonts w:cs="Arial"/>
        <w:sz w:val="16"/>
        <w:szCs w:val="16"/>
      </w:rPr>
      <w:instrText xml:space="preserve"> PAGE   \* MERGEFORMAT </w:instrText>
    </w:r>
    <w:r w:rsidRPr="001926A7">
      <w:rPr>
        <w:rFonts w:cs="Arial"/>
        <w:sz w:val="16"/>
        <w:szCs w:val="16"/>
      </w:rPr>
      <w:fldChar w:fldCharType="separate"/>
    </w:r>
    <w:r w:rsidRPr="001926A7">
      <w:rPr>
        <w:rFonts w:cs="Arial"/>
        <w:noProof/>
        <w:sz w:val="16"/>
        <w:szCs w:val="16"/>
      </w:rPr>
      <w:t>1</w:t>
    </w:r>
    <w:r w:rsidRPr="001926A7">
      <w:rPr>
        <w:rFonts w:cs="Arial"/>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ED6E5" w14:textId="77777777" w:rsidR="000F0F67" w:rsidRDefault="000F0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46E22" w14:textId="77777777" w:rsidR="00620CE1" w:rsidRDefault="00620CE1" w:rsidP="0050238E">
      <w:pPr>
        <w:spacing w:after="0" w:line="240" w:lineRule="auto"/>
      </w:pPr>
      <w:r>
        <w:separator/>
      </w:r>
    </w:p>
  </w:footnote>
  <w:footnote w:type="continuationSeparator" w:id="0">
    <w:p w14:paraId="4F9BD91A" w14:textId="77777777" w:rsidR="00620CE1" w:rsidRDefault="00620CE1" w:rsidP="00502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EFF55" w14:textId="77777777" w:rsidR="000F0F67" w:rsidRDefault="000F0F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FD2FC8" w14:textId="77777777" w:rsidR="0050238E" w:rsidRDefault="0050238E">
    <w:r>
      <w:rPr>
        <w:noProof/>
      </w:rPr>
      <w:drawing>
        <wp:anchor distT="0" distB="0" distL="114300" distR="114300" simplePos="0" relativeHeight="251659264" behindDoc="0" locked="0" layoutInCell="1" allowOverlap="1" wp14:anchorId="65F76DA6" wp14:editId="603661FA">
          <wp:simplePos x="0" y="0"/>
          <wp:positionH relativeFrom="margin">
            <wp:posOffset>4773295</wp:posOffset>
          </wp:positionH>
          <wp:positionV relativeFrom="page">
            <wp:posOffset>429895</wp:posOffset>
          </wp:positionV>
          <wp:extent cx="1828800" cy="283464"/>
          <wp:effectExtent l="0" t="0" r="0" b="2540"/>
          <wp:wrapNone/>
          <wp:docPr id="4" name="Picture 4"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28800" cy="28346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B08A7" w14:textId="77777777" w:rsidR="000F0F67" w:rsidRDefault="000F0F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55B1D"/>
    <w:multiLevelType w:val="hybridMultilevel"/>
    <w:tmpl w:val="5B0E8DF6"/>
    <w:lvl w:ilvl="0" w:tplc="BEB0F8A2">
      <w:start w:val="1"/>
      <w:numFmt w:val="lowerLetter"/>
      <w:pStyle w:val="LetterListBlack"/>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F52BF0"/>
    <w:multiLevelType w:val="multilevel"/>
    <w:tmpl w:val="6C7E9A90"/>
    <w:lvl w:ilvl="0">
      <w:start w:val="1"/>
      <w:numFmt w:val="bullet"/>
      <w:lvlText w:val=""/>
      <w:lvlJc w:val="left"/>
      <w:pPr>
        <w:ind w:left="360" w:hanging="360"/>
      </w:pPr>
      <w:rPr>
        <w:rFonts w:ascii="Symbol" w:hAnsi="Symbol" w:hint="default"/>
        <w:color w:val="E4610F" w:themeColor="accent1"/>
      </w:rPr>
    </w:lvl>
    <w:lvl w:ilvl="1">
      <w:start w:val="1"/>
      <w:numFmt w:val="bullet"/>
      <w:lvlText w:val="­"/>
      <w:lvlJc w:val="left"/>
      <w:pPr>
        <w:ind w:left="794" w:hanging="397"/>
      </w:pPr>
      <w:rPr>
        <w:rFonts w:ascii="Courier New" w:hAnsi="Courier New" w:hint="default"/>
      </w:rPr>
    </w:lvl>
    <w:lvl w:ilvl="2">
      <w:start w:val="1"/>
      <w:numFmt w:val="bullet"/>
      <w:lvlText w:val=""/>
      <w:lvlJc w:val="left"/>
      <w:pPr>
        <w:ind w:left="1191" w:hanging="397"/>
      </w:pPr>
      <w:rPr>
        <w:rFonts w:ascii="Symbol" w:hAnsi="Symbol" w:hint="default"/>
        <w:color w:val="E4610F" w:themeColor="accent1"/>
      </w:rPr>
    </w:lvl>
    <w:lvl w:ilvl="3">
      <w:start w:val="1"/>
      <w:numFmt w:val="bullet"/>
      <w:lvlText w:val="­"/>
      <w:lvlJc w:val="left"/>
      <w:pPr>
        <w:ind w:left="1588" w:hanging="397"/>
      </w:pPr>
      <w:rPr>
        <w:rFonts w:ascii="Courier New" w:hAnsi="Courier New" w:hint="default"/>
      </w:rPr>
    </w:lvl>
    <w:lvl w:ilvl="4">
      <w:start w:val="1"/>
      <w:numFmt w:val="bullet"/>
      <w:lvlText w:val=""/>
      <w:lvlJc w:val="left"/>
      <w:pPr>
        <w:ind w:left="1985" w:hanging="397"/>
      </w:pPr>
      <w:rPr>
        <w:rFonts w:ascii="Symbol" w:hAnsi="Symbol" w:hint="default"/>
        <w:color w:val="E4610F"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99C6249"/>
    <w:multiLevelType w:val="hybridMultilevel"/>
    <w:tmpl w:val="4F50342C"/>
    <w:lvl w:ilvl="0" w:tplc="04A44C72">
      <w:start w:val="1"/>
      <w:numFmt w:val="lowerLetter"/>
      <w:pStyle w:val="LetterListOrange"/>
      <w:lvlText w:val="%1."/>
      <w:lvlJc w:val="left"/>
      <w:pPr>
        <w:ind w:left="720" w:hanging="360"/>
      </w:pPr>
      <w:rPr>
        <w:rFonts w:hint="default"/>
        <w:color w:val="E4610F"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DF3C77"/>
    <w:multiLevelType w:val="multilevel"/>
    <w:tmpl w:val="8330395A"/>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lowerRoman"/>
      <w:lvlText w:val="%3."/>
      <w:lvlJc w:val="right"/>
      <w:pPr>
        <w:ind w:left="1191" w:hanging="397"/>
      </w:pPr>
      <w:rPr>
        <w:rFonts w:hint="default"/>
      </w:rPr>
    </w:lvl>
    <w:lvl w:ilvl="3">
      <w:start w:val="1"/>
      <w:numFmt w:val="decimal"/>
      <w:lvlText w:val="%4."/>
      <w:lvlJc w:val="left"/>
      <w:pPr>
        <w:ind w:left="1588" w:hanging="397"/>
      </w:pPr>
      <w:rPr>
        <w:rFonts w:hint="default"/>
      </w:rPr>
    </w:lvl>
    <w:lvl w:ilvl="4">
      <w:start w:val="1"/>
      <w:numFmt w:val="lowerLetter"/>
      <w:lvlText w:val="%5."/>
      <w:lvlJc w:val="left"/>
      <w:pPr>
        <w:ind w:left="1985" w:hanging="397"/>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597B04B2"/>
    <w:multiLevelType w:val="multilevel"/>
    <w:tmpl w:val="8F60E2D6"/>
    <w:lvl w:ilvl="0">
      <w:start w:val="1"/>
      <w:numFmt w:val="bullet"/>
      <w:pStyle w:val="BulletListBlack"/>
      <w:lvlText w:val=""/>
      <w:lvlJc w:val="left"/>
      <w:pPr>
        <w:ind w:left="360" w:hanging="360"/>
      </w:pPr>
      <w:rPr>
        <w:rFonts w:ascii="Symbol" w:hAnsi="Symbol" w:hint="default"/>
        <w:color w:val="auto"/>
      </w:rPr>
    </w:lvl>
    <w:lvl w:ilvl="1">
      <w:start w:val="1"/>
      <w:numFmt w:val="bullet"/>
      <w:lvlText w:val="­"/>
      <w:lvlJc w:val="left"/>
      <w:pPr>
        <w:ind w:left="794" w:hanging="397"/>
      </w:pPr>
      <w:rPr>
        <w:rFonts w:ascii="Courier New" w:hAnsi="Courier New" w:hint="default"/>
      </w:rPr>
    </w:lvl>
    <w:lvl w:ilvl="2">
      <w:start w:val="1"/>
      <w:numFmt w:val="bullet"/>
      <w:lvlText w:val=""/>
      <w:lvlJc w:val="left"/>
      <w:pPr>
        <w:ind w:left="1191" w:hanging="397"/>
      </w:pPr>
      <w:rPr>
        <w:rFonts w:ascii="Symbol" w:hAnsi="Symbol" w:hint="default"/>
        <w:color w:val="E4610F" w:themeColor="accent1"/>
      </w:rPr>
    </w:lvl>
    <w:lvl w:ilvl="3">
      <w:start w:val="1"/>
      <w:numFmt w:val="bullet"/>
      <w:lvlText w:val="­"/>
      <w:lvlJc w:val="left"/>
      <w:pPr>
        <w:ind w:left="1588" w:hanging="397"/>
      </w:pPr>
      <w:rPr>
        <w:rFonts w:ascii="Courier New" w:hAnsi="Courier New" w:hint="default"/>
      </w:rPr>
    </w:lvl>
    <w:lvl w:ilvl="4">
      <w:start w:val="1"/>
      <w:numFmt w:val="bullet"/>
      <w:lvlText w:val=""/>
      <w:lvlJc w:val="left"/>
      <w:pPr>
        <w:ind w:left="1985" w:hanging="397"/>
      </w:pPr>
      <w:rPr>
        <w:rFonts w:ascii="Symbol" w:hAnsi="Symbol" w:hint="default"/>
        <w:color w:val="E4610F" w:themeColor="accent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302152773">
    <w:abstractNumId w:val="1"/>
  </w:num>
  <w:num w:numId="2" w16cid:durableId="164324141">
    <w:abstractNumId w:val="4"/>
  </w:num>
  <w:num w:numId="3" w16cid:durableId="32778094">
    <w:abstractNumId w:val="3"/>
  </w:num>
  <w:num w:numId="4" w16cid:durableId="1350913347">
    <w:abstractNumId w:val="0"/>
  </w:num>
  <w:num w:numId="5" w16cid:durableId="10866526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522"/>
    <w:rsid w:val="00001180"/>
    <w:rsid w:val="0002061A"/>
    <w:rsid w:val="00034CDD"/>
    <w:rsid w:val="00046522"/>
    <w:rsid w:val="000565E0"/>
    <w:rsid w:val="000D419D"/>
    <w:rsid w:val="000E5445"/>
    <w:rsid w:val="000F0F67"/>
    <w:rsid w:val="00145DEF"/>
    <w:rsid w:val="0015495D"/>
    <w:rsid w:val="0018062F"/>
    <w:rsid w:val="001926A7"/>
    <w:rsid w:val="0026456A"/>
    <w:rsid w:val="002671CE"/>
    <w:rsid w:val="002C78FC"/>
    <w:rsid w:val="00341612"/>
    <w:rsid w:val="003D5E9C"/>
    <w:rsid w:val="003D6E20"/>
    <w:rsid w:val="00420CBB"/>
    <w:rsid w:val="004C3172"/>
    <w:rsid w:val="0050238E"/>
    <w:rsid w:val="0052144C"/>
    <w:rsid w:val="005377AF"/>
    <w:rsid w:val="005C1F0F"/>
    <w:rsid w:val="00620CE1"/>
    <w:rsid w:val="00697210"/>
    <w:rsid w:val="006D08CE"/>
    <w:rsid w:val="007049D8"/>
    <w:rsid w:val="008F5C91"/>
    <w:rsid w:val="00942C9C"/>
    <w:rsid w:val="00945CC5"/>
    <w:rsid w:val="009846E9"/>
    <w:rsid w:val="009B5656"/>
    <w:rsid w:val="009D1DB7"/>
    <w:rsid w:val="00B50470"/>
    <w:rsid w:val="00BA53B8"/>
    <w:rsid w:val="00BE4051"/>
    <w:rsid w:val="00C45673"/>
    <w:rsid w:val="00C924AD"/>
    <w:rsid w:val="00D16081"/>
    <w:rsid w:val="00D602D5"/>
    <w:rsid w:val="00D9502B"/>
    <w:rsid w:val="00DA5046"/>
    <w:rsid w:val="00E63C9F"/>
    <w:rsid w:val="00E7173F"/>
    <w:rsid w:val="00EB3E17"/>
    <w:rsid w:val="00EF72B4"/>
    <w:rsid w:val="00F14D17"/>
    <w:rsid w:val="00FA077C"/>
    <w:rsid w:val="00FF4B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F0C48"/>
  <w15:chartTrackingRefBased/>
  <w15:docId w15:val="{CBACE111-5E3D-4827-90A9-2BC4EE42F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65E0"/>
    <w:pPr>
      <w:spacing w:after="120" w:line="288" w:lineRule="auto"/>
    </w:pPr>
    <w:rPr>
      <w:rFonts w:ascii="Arial" w:hAnsi="Arial"/>
      <w:sz w:val="20"/>
    </w:rPr>
  </w:style>
  <w:style w:type="paragraph" w:styleId="Heading1">
    <w:name w:val="heading 1"/>
    <w:basedOn w:val="Normal"/>
    <w:next w:val="Normal"/>
    <w:link w:val="Heading1Char"/>
    <w:uiPriority w:val="9"/>
    <w:qFormat/>
    <w:rsid w:val="004C3172"/>
    <w:pPr>
      <w:keepNext/>
      <w:keepLines/>
      <w:spacing w:before="280"/>
      <w:outlineLvl w:val="0"/>
    </w:pPr>
    <w:rPr>
      <w:rFonts w:eastAsiaTheme="majorEastAsia" w:cstheme="majorBidi"/>
      <w:b/>
      <w:color w:val="E4610F" w:themeColor="accent1"/>
      <w:sz w:val="38"/>
      <w:szCs w:val="32"/>
    </w:rPr>
  </w:style>
  <w:style w:type="paragraph" w:styleId="Heading2">
    <w:name w:val="heading 2"/>
    <w:basedOn w:val="Normal"/>
    <w:next w:val="Normal"/>
    <w:link w:val="Heading2Char"/>
    <w:uiPriority w:val="9"/>
    <w:qFormat/>
    <w:rsid w:val="004C3172"/>
    <w:pPr>
      <w:keepNext/>
      <w:keepLines/>
      <w:spacing w:before="280"/>
      <w:outlineLvl w:val="1"/>
    </w:pPr>
    <w:rPr>
      <w:rFonts w:eastAsiaTheme="majorEastAsia" w:cstheme="majorBidi"/>
      <w:b/>
      <w:color w:val="0C0808" w:themeColor="text1"/>
      <w:sz w:val="32"/>
      <w:szCs w:val="26"/>
    </w:rPr>
  </w:style>
  <w:style w:type="paragraph" w:styleId="Heading3">
    <w:name w:val="heading 3"/>
    <w:basedOn w:val="Normal"/>
    <w:next w:val="Normal"/>
    <w:link w:val="Heading3Char"/>
    <w:uiPriority w:val="9"/>
    <w:qFormat/>
    <w:rsid w:val="004C3172"/>
    <w:pPr>
      <w:keepNext/>
      <w:keepLines/>
      <w:spacing w:before="280"/>
      <w:outlineLvl w:val="2"/>
    </w:pPr>
    <w:rPr>
      <w:rFonts w:eastAsiaTheme="majorEastAsia" w:cstheme="majorBidi"/>
      <w:b/>
      <w:color w:val="E4610F" w:themeColor="accent1"/>
      <w:sz w:val="28"/>
      <w:szCs w:val="24"/>
    </w:rPr>
  </w:style>
  <w:style w:type="paragraph" w:styleId="Heading4">
    <w:name w:val="heading 4"/>
    <w:basedOn w:val="Normal"/>
    <w:next w:val="Normal"/>
    <w:link w:val="Heading4Char"/>
    <w:uiPriority w:val="9"/>
    <w:qFormat/>
    <w:rsid w:val="004C3172"/>
    <w:pPr>
      <w:keepNext/>
      <w:keepLines/>
      <w:spacing w:before="280"/>
      <w:outlineLvl w:val="3"/>
    </w:pPr>
    <w:rPr>
      <w:rFonts w:eastAsiaTheme="majorEastAsia" w:cstheme="majorBidi"/>
      <w:b/>
      <w:iCs/>
      <w:color w:val="0C0808" w:themeColor="text1"/>
      <w:sz w:val="24"/>
    </w:rPr>
  </w:style>
  <w:style w:type="paragraph" w:styleId="Heading5">
    <w:name w:val="heading 5"/>
    <w:basedOn w:val="Normal"/>
    <w:next w:val="Normal"/>
    <w:link w:val="Heading5Char"/>
    <w:uiPriority w:val="9"/>
    <w:qFormat/>
    <w:rsid w:val="004C3172"/>
    <w:pPr>
      <w:keepNext/>
      <w:keepLines/>
      <w:spacing w:before="280"/>
      <w:outlineLvl w:val="4"/>
    </w:pPr>
    <w:rPr>
      <w:rFonts w:eastAsiaTheme="majorEastAsia" w:cstheme="majorBidi"/>
      <w:color w:val="0C0808"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rcadisTableStyle1">
    <w:name w:val="Arcadis Table Style 1"/>
    <w:basedOn w:val="TableNormal"/>
    <w:uiPriority w:val="99"/>
    <w:rsid w:val="004C3172"/>
    <w:pPr>
      <w:spacing w:after="0" w:line="240" w:lineRule="auto"/>
    </w:pPr>
    <w:rPr>
      <w:rFonts w:ascii="Arial" w:hAnsi="Arial"/>
      <w:sz w:val="20"/>
    </w:rPr>
    <w:tblPr>
      <w:tblStyleRowBandSize w:val="1"/>
      <w:tblBorders>
        <w:bottom w:val="single" w:sz="4" w:space="0" w:color="0C0808" w:themeColor="text1"/>
      </w:tblBorders>
    </w:tblPr>
    <w:tblStylePr w:type="firstRow">
      <w:rPr>
        <w:rFonts w:ascii="Arial" w:hAnsi="Arial"/>
        <w:b/>
        <w:color w:val="E4610F" w:themeColor="accent1"/>
        <w:sz w:val="20"/>
      </w:rPr>
      <w:tblPr/>
      <w:tcPr>
        <w:tcBorders>
          <w:top w:val="nil"/>
          <w:left w:val="nil"/>
          <w:bottom w:val="single" w:sz="4" w:space="0" w:color="E4610F" w:themeColor="accent1"/>
          <w:right w:val="nil"/>
          <w:insideH w:val="nil"/>
          <w:insideV w:val="nil"/>
        </w:tcBorders>
      </w:tcPr>
    </w:tblStylePr>
    <w:tblStylePr w:type="lastRow">
      <w:rPr>
        <w:rFonts w:ascii="Arial" w:hAnsi="Arial"/>
        <w:sz w:val="20"/>
      </w:rPr>
      <w:tblPr/>
      <w:tcPr>
        <w:tcBorders>
          <w:top w:val="nil"/>
          <w:left w:val="nil"/>
          <w:bottom w:val="single" w:sz="4" w:space="0" w:color="E4610F" w:themeColor="accent1"/>
          <w:right w:val="nil"/>
          <w:insideH w:val="nil"/>
          <w:insideV w:val="nil"/>
          <w:tl2br w:val="nil"/>
          <w:tr2bl w:val="nil"/>
        </w:tcBorders>
      </w:tcPr>
    </w:tblStylePr>
    <w:tblStylePr w:type="band1Horz">
      <w:tblPr/>
      <w:tcPr>
        <w:tcBorders>
          <w:top w:val="nil"/>
          <w:left w:val="nil"/>
          <w:bottom w:val="single" w:sz="4" w:space="0" w:color="0C0808" w:themeColor="text1"/>
          <w:right w:val="nil"/>
          <w:insideH w:val="nil"/>
          <w:insideV w:val="nil"/>
          <w:tl2br w:val="nil"/>
          <w:tr2bl w:val="nil"/>
        </w:tcBorders>
      </w:tcPr>
    </w:tblStylePr>
    <w:tblStylePr w:type="band2Horz">
      <w:rPr>
        <w:rFonts w:ascii="Arial" w:hAnsi="Arial"/>
        <w:color w:val="0C0808" w:themeColor="text1"/>
        <w:sz w:val="20"/>
      </w:rPr>
      <w:tblPr/>
      <w:tcPr>
        <w:tcBorders>
          <w:top w:val="nil"/>
          <w:left w:val="nil"/>
          <w:bottom w:val="single" w:sz="4" w:space="0" w:color="0C0808" w:themeColor="text1"/>
          <w:right w:val="nil"/>
          <w:insideH w:val="nil"/>
          <w:insideV w:val="nil"/>
        </w:tcBorders>
      </w:tcPr>
    </w:tblStylePr>
  </w:style>
  <w:style w:type="table" w:customStyle="1" w:styleId="ArcadisTableStyle2">
    <w:name w:val="Arcadis Table Style 2"/>
    <w:basedOn w:val="TableNormal"/>
    <w:uiPriority w:val="99"/>
    <w:rsid w:val="004C3172"/>
    <w:pPr>
      <w:spacing w:after="0" w:line="240" w:lineRule="auto"/>
    </w:pPr>
    <w:rPr>
      <w:rFonts w:ascii="Arial" w:hAnsi="Arial"/>
      <w:sz w:val="20"/>
    </w:rPr>
    <w:tblPr>
      <w:tblStyleRowBandSize w:val="1"/>
    </w:tblPr>
    <w:tblStylePr w:type="firstRow">
      <w:rPr>
        <w:rFonts w:ascii="Arial" w:hAnsi="Arial"/>
        <w:b/>
        <w:color w:val="E4610F" w:themeColor="accent1"/>
        <w:sz w:val="20"/>
      </w:rPr>
      <w:tblPr/>
      <w:tcPr>
        <w:tcBorders>
          <w:bottom w:val="single" w:sz="4" w:space="0" w:color="E4610F" w:themeColor="accent1"/>
        </w:tcBorders>
      </w:tcPr>
    </w:tblStylePr>
    <w:tblStylePr w:type="band2Horz">
      <w:tblPr/>
      <w:tcPr>
        <w:shd w:val="clear" w:color="auto" w:fill="C2C1C1" w:themeFill="background2"/>
      </w:tcPr>
    </w:tblStylePr>
  </w:style>
  <w:style w:type="table" w:customStyle="1" w:styleId="ArcadisTableStyle3">
    <w:name w:val="Arcadis Table Style 3"/>
    <w:basedOn w:val="TableNormal"/>
    <w:uiPriority w:val="99"/>
    <w:rsid w:val="004C3172"/>
    <w:pPr>
      <w:spacing w:before="60" w:after="60" w:line="288" w:lineRule="auto"/>
    </w:pPr>
    <w:rPr>
      <w:rFonts w:ascii="Arial" w:hAnsi="Arial"/>
      <w:sz w:val="20"/>
    </w:rPr>
    <w:tblPr>
      <w:tblStyleRowBandSize w:val="1"/>
      <w:tblBorders>
        <w:top w:val="single" w:sz="4" w:space="0" w:color="C2C1C1" w:themeColor="background2"/>
        <w:left w:val="single" w:sz="4" w:space="0" w:color="C2C1C1" w:themeColor="background2"/>
        <w:bottom w:val="single" w:sz="4" w:space="0" w:color="C2C1C1" w:themeColor="background2"/>
        <w:right w:val="single" w:sz="4" w:space="0" w:color="C2C1C1" w:themeColor="background2"/>
        <w:insideH w:val="single" w:sz="4" w:space="0" w:color="C2C1C1" w:themeColor="background2"/>
        <w:insideV w:val="single" w:sz="4" w:space="0" w:color="C2C1C1" w:themeColor="background2"/>
      </w:tblBorders>
    </w:tblPr>
    <w:tcPr>
      <w:vAlign w:val="center"/>
    </w:tcPr>
    <w:tblStylePr w:type="firstRow">
      <w:pPr>
        <w:wordWrap/>
        <w:spacing w:beforeLines="0" w:before="120" w:beforeAutospacing="0" w:afterLines="0" w:after="120" w:afterAutospacing="0"/>
      </w:pPr>
      <w:rPr>
        <w:rFonts w:ascii="Arial" w:hAnsi="Arial"/>
        <w:b/>
        <w:color w:val="FFFFFF" w:themeColor="background1"/>
        <w:sz w:val="20"/>
      </w:rPr>
      <w:tblPr/>
      <w:tcPr>
        <w:tcBorders>
          <w:top w:val="single" w:sz="4" w:space="0" w:color="C2C1C1" w:themeColor="background2"/>
          <w:left w:val="single" w:sz="4" w:space="0" w:color="C2C1C1" w:themeColor="background2"/>
          <w:bottom w:val="single" w:sz="4" w:space="0" w:color="C2C1C1" w:themeColor="background2"/>
          <w:right w:val="single" w:sz="4" w:space="0" w:color="C2C1C1" w:themeColor="background2"/>
          <w:insideH w:val="nil"/>
          <w:insideV w:val="single" w:sz="4" w:space="0" w:color="C2C1C1" w:themeColor="background2"/>
          <w:tl2br w:val="nil"/>
          <w:tr2bl w:val="nil"/>
        </w:tcBorders>
        <w:shd w:val="clear" w:color="auto" w:fill="E4610F" w:themeFill="accent1"/>
      </w:tcPr>
    </w:tblStylePr>
    <w:tblStylePr w:type="band1Horz">
      <w:rPr>
        <w:rFonts w:ascii="Arial" w:hAnsi="Arial"/>
        <w:b w:val="0"/>
        <w:i w:val="0"/>
        <w:caps w:val="0"/>
        <w:smallCaps w:val="0"/>
        <w:strike w:val="0"/>
        <w:dstrike w:val="0"/>
        <w:vanish w:val="0"/>
        <w:sz w:val="20"/>
        <w:vertAlign w:val="baseline"/>
      </w:rPr>
    </w:tblStylePr>
    <w:tblStylePr w:type="band2Horz">
      <w:rPr>
        <w:rFonts w:ascii="Arial" w:hAnsi="Arial"/>
        <w:b w:val="0"/>
        <w:i w:val="0"/>
        <w:caps w:val="0"/>
        <w:smallCaps w:val="0"/>
        <w:strike w:val="0"/>
        <w:dstrike w:val="0"/>
        <w:vanish w:val="0"/>
        <w:sz w:val="20"/>
        <w:vertAlign w:val="baseline"/>
      </w:rPr>
    </w:tblStylePr>
  </w:style>
  <w:style w:type="paragraph" w:customStyle="1" w:styleId="BodyHeading">
    <w:name w:val="Body Heading"/>
    <w:basedOn w:val="Normal"/>
    <w:qFormat/>
    <w:rsid w:val="004C3172"/>
    <w:rPr>
      <w:b/>
    </w:rPr>
  </w:style>
  <w:style w:type="paragraph" w:customStyle="1" w:styleId="BulletListOrange">
    <w:name w:val="Bullet List Orange"/>
    <w:basedOn w:val="Normal"/>
    <w:qFormat/>
    <w:rsid w:val="004C3172"/>
    <w:pPr>
      <w:spacing w:after="60"/>
      <w:contextualSpacing/>
    </w:pPr>
  </w:style>
  <w:style w:type="paragraph" w:customStyle="1" w:styleId="BulletListBlack">
    <w:name w:val="Bullet List Black"/>
    <w:basedOn w:val="BulletListOrange"/>
    <w:qFormat/>
    <w:rsid w:val="004C3172"/>
    <w:pPr>
      <w:numPr>
        <w:numId w:val="2"/>
      </w:numPr>
    </w:pPr>
  </w:style>
  <w:style w:type="paragraph" w:styleId="Footer">
    <w:name w:val="footer"/>
    <w:basedOn w:val="Normal"/>
    <w:link w:val="FooterChar"/>
    <w:uiPriority w:val="99"/>
    <w:unhideWhenUsed/>
    <w:rsid w:val="004C3172"/>
    <w:pPr>
      <w:tabs>
        <w:tab w:val="center" w:pos="4513"/>
        <w:tab w:val="right" w:pos="9026"/>
      </w:tabs>
      <w:spacing w:after="0"/>
    </w:pPr>
    <w:rPr>
      <w:sz w:val="10"/>
      <w:szCs w:val="10"/>
    </w:rPr>
  </w:style>
  <w:style w:type="character" w:customStyle="1" w:styleId="FooterChar">
    <w:name w:val="Footer Char"/>
    <w:basedOn w:val="DefaultParagraphFont"/>
    <w:link w:val="Footer"/>
    <w:uiPriority w:val="99"/>
    <w:rsid w:val="004C3172"/>
    <w:rPr>
      <w:rFonts w:ascii="Arial" w:hAnsi="Arial"/>
      <w:sz w:val="10"/>
      <w:szCs w:val="10"/>
    </w:rPr>
  </w:style>
  <w:style w:type="paragraph" w:customStyle="1" w:styleId="NormalNoSpace">
    <w:name w:val="Normal No Space"/>
    <w:basedOn w:val="Normal"/>
    <w:qFormat/>
    <w:rsid w:val="004C3172"/>
    <w:pPr>
      <w:overflowPunct w:val="0"/>
      <w:autoSpaceDE w:val="0"/>
      <w:autoSpaceDN w:val="0"/>
      <w:adjustRightInd w:val="0"/>
      <w:spacing w:after="0"/>
      <w:textAlignment w:val="baseline"/>
    </w:pPr>
    <w:rPr>
      <w:rFonts w:eastAsia="Times New Roman" w:cs="Arial"/>
      <w:szCs w:val="20"/>
    </w:rPr>
  </w:style>
  <w:style w:type="paragraph" w:styleId="Header">
    <w:name w:val="header"/>
    <w:basedOn w:val="NormalNoSpace"/>
    <w:link w:val="HeaderChar"/>
    <w:uiPriority w:val="99"/>
    <w:semiHidden/>
    <w:rsid w:val="004C3172"/>
  </w:style>
  <w:style w:type="character" w:customStyle="1" w:styleId="HeaderChar">
    <w:name w:val="Header Char"/>
    <w:basedOn w:val="DefaultParagraphFont"/>
    <w:link w:val="Header"/>
    <w:uiPriority w:val="99"/>
    <w:semiHidden/>
    <w:rsid w:val="000565E0"/>
    <w:rPr>
      <w:rFonts w:ascii="Arial" w:eastAsia="Times New Roman" w:hAnsi="Arial" w:cs="Arial"/>
      <w:sz w:val="20"/>
      <w:szCs w:val="20"/>
    </w:rPr>
  </w:style>
  <w:style w:type="character" w:customStyle="1" w:styleId="Heading1Char">
    <w:name w:val="Heading 1 Char"/>
    <w:basedOn w:val="DefaultParagraphFont"/>
    <w:link w:val="Heading1"/>
    <w:uiPriority w:val="9"/>
    <w:rsid w:val="004C3172"/>
    <w:rPr>
      <w:rFonts w:ascii="Arial" w:eastAsiaTheme="majorEastAsia" w:hAnsi="Arial" w:cstheme="majorBidi"/>
      <w:b/>
      <w:color w:val="E4610F" w:themeColor="accent1"/>
      <w:sz w:val="38"/>
      <w:szCs w:val="32"/>
    </w:rPr>
  </w:style>
  <w:style w:type="character" w:customStyle="1" w:styleId="Heading2Char">
    <w:name w:val="Heading 2 Char"/>
    <w:basedOn w:val="DefaultParagraphFont"/>
    <w:link w:val="Heading2"/>
    <w:uiPriority w:val="9"/>
    <w:rsid w:val="004C3172"/>
    <w:rPr>
      <w:rFonts w:ascii="Arial" w:eastAsiaTheme="majorEastAsia" w:hAnsi="Arial" w:cstheme="majorBidi"/>
      <w:b/>
      <w:color w:val="0C0808" w:themeColor="text1"/>
      <w:sz w:val="32"/>
      <w:szCs w:val="26"/>
    </w:rPr>
  </w:style>
  <w:style w:type="character" w:customStyle="1" w:styleId="Heading3Char">
    <w:name w:val="Heading 3 Char"/>
    <w:basedOn w:val="DefaultParagraphFont"/>
    <w:link w:val="Heading3"/>
    <w:uiPriority w:val="9"/>
    <w:rsid w:val="004C3172"/>
    <w:rPr>
      <w:rFonts w:ascii="Arial" w:eastAsiaTheme="majorEastAsia" w:hAnsi="Arial" w:cstheme="majorBidi"/>
      <w:b/>
      <w:color w:val="E4610F" w:themeColor="accent1"/>
      <w:sz w:val="28"/>
      <w:szCs w:val="24"/>
    </w:rPr>
  </w:style>
  <w:style w:type="character" w:customStyle="1" w:styleId="Heading4Char">
    <w:name w:val="Heading 4 Char"/>
    <w:basedOn w:val="DefaultParagraphFont"/>
    <w:link w:val="Heading4"/>
    <w:uiPriority w:val="9"/>
    <w:rsid w:val="004C3172"/>
    <w:rPr>
      <w:rFonts w:ascii="Arial" w:eastAsiaTheme="majorEastAsia" w:hAnsi="Arial" w:cstheme="majorBidi"/>
      <w:b/>
      <w:iCs/>
      <w:color w:val="0C0808" w:themeColor="text1"/>
      <w:sz w:val="24"/>
    </w:rPr>
  </w:style>
  <w:style w:type="character" w:customStyle="1" w:styleId="Heading5Char">
    <w:name w:val="Heading 5 Char"/>
    <w:basedOn w:val="DefaultParagraphFont"/>
    <w:link w:val="Heading5"/>
    <w:uiPriority w:val="9"/>
    <w:rsid w:val="004C3172"/>
    <w:rPr>
      <w:rFonts w:ascii="Arial" w:eastAsiaTheme="majorEastAsia" w:hAnsi="Arial" w:cstheme="majorBidi"/>
      <w:color w:val="0C0808" w:themeColor="text1"/>
      <w:sz w:val="24"/>
    </w:rPr>
  </w:style>
  <w:style w:type="character" w:styleId="Hyperlink">
    <w:name w:val="Hyperlink"/>
    <w:basedOn w:val="DefaultParagraphFont"/>
    <w:uiPriority w:val="99"/>
    <w:unhideWhenUsed/>
    <w:rsid w:val="004C3172"/>
    <w:rPr>
      <w:color w:val="E4610F" w:themeColor="hyperlink"/>
      <w:u w:val="single"/>
    </w:rPr>
  </w:style>
  <w:style w:type="paragraph" w:customStyle="1" w:styleId="NumberListBlack">
    <w:name w:val="Number List Black"/>
    <w:basedOn w:val="Normal"/>
    <w:qFormat/>
    <w:rsid w:val="004C3172"/>
    <w:pPr>
      <w:spacing w:after="60"/>
      <w:ind w:left="360" w:hanging="360"/>
      <w:contextualSpacing/>
    </w:pPr>
  </w:style>
  <w:style w:type="paragraph" w:customStyle="1" w:styleId="LetterListBlack">
    <w:name w:val="Letter List Black"/>
    <w:basedOn w:val="NumberListBlack"/>
    <w:qFormat/>
    <w:rsid w:val="004C3172"/>
    <w:pPr>
      <w:numPr>
        <w:numId w:val="4"/>
      </w:numPr>
    </w:pPr>
  </w:style>
  <w:style w:type="paragraph" w:customStyle="1" w:styleId="LetterListOrange">
    <w:name w:val="Letter List Orange"/>
    <w:basedOn w:val="LetterListBlack"/>
    <w:qFormat/>
    <w:rsid w:val="004C3172"/>
    <w:pPr>
      <w:numPr>
        <w:numId w:val="5"/>
      </w:numPr>
    </w:pPr>
  </w:style>
  <w:style w:type="table" w:styleId="TableGrid">
    <w:name w:val="Table Grid"/>
    <w:basedOn w:val="TableNormal"/>
    <w:uiPriority w:val="39"/>
    <w:rsid w:val="004C31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4C3172"/>
    <w:pPr>
      <w:spacing w:before="60" w:after="60"/>
    </w:pPr>
    <w:rPr>
      <w:b/>
      <w:bCs/>
      <w:color w:val="E4610F" w:themeColor="accent1"/>
    </w:rPr>
  </w:style>
  <w:style w:type="paragraph" w:customStyle="1" w:styleId="TableHeadingWhite">
    <w:name w:val="Table Heading White"/>
    <w:basedOn w:val="TableHeading"/>
    <w:qFormat/>
    <w:rsid w:val="004C3172"/>
    <w:rPr>
      <w:bCs w:val="0"/>
      <w:color w:val="FFFFFF" w:themeColor="background1"/>
    </w:rPr>
  </w:style>
  <w:style w:type="paragraph" w:customStyle="1" w:styleId="TableText">
    <w:name w:val="Table Text"/>
    <w:basedOn w:val="Normal"/>
    <w:qFormat/>
    <w:rsid w:val="004C3172"/>
    <w:pPr>
      <w:spacing w:before="60" w:after="60"/>
    </w:pPr>
  </w:style>
  <w:style w:type="character" w:styleId="UnresolvedMention">
    <w:name w:val="Unresolved Mention"/>
    <w:basedOn w:val="DefaultParagraphFont"/>
    <w:uiPriority w:val="99"/>
    <w:semiHidden/>
    <w:unhideWhenUsed/>
    <w:rsid w:val="004C3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arcadiso365.sharepoint.com/sites/AssetLibraries/Templates/Regions/North%20America/United%20States/Reports/ANSI%20Blank%20Page%20Portrait%20Template.dotx" TargetMode="External"/></Relationships>
</file>

<file path=word/theme/theme1.xml><?xml version="1.0" encoding="utf-8"?>
<a:theme xmlns:a="http://schemas.openxmlformats.org/drawingml/2006/main" name="Office Theme">
  <a:themeElements>
    <a:clrScheme name="Arcadis 2022">
      <a:dk1>
        <a:srgbClr val="0C0808"/>
      </a:dk1>
      <a:lt1>
        <a:srgbClr val="FFFFFF"/>
      </a:lt1>
      <a:dk2>
        <a:srgbClr val="494646"/>
      </a:dk2>
      <a:lt2>
        <a:srgbClr val="C2C1C1"/>
      </a:lt2>
      <a:accent1>
        <a:srgbClr val="E4610F"/>
      </a:accent1>
      <a:accent2>
        <a:srgbClr val="F2B087"/>
      </a:accent2>
      <a:accent3>
        <a:srgbClr val="9C266E"/>
      </a:accent3>
      <a:accent4>
        <a:srgbClr val="F1B434"/>
      </a:accent4>
      <a:accent5>
        <a:srgbClr val="007377"/>
      </a:accent5>
      <a:accent6>
        <a:srgbClr val="326295"/>
      </a:accent6>
      <a:hlink>
        <a:srgbClr val="E4610F"/>
      </a:hlink>
      <a:folHlink>
        <a:srgbClr val="F2B08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D1695FAA67FF4CB6805A877D455503" ma:contentTypeVersion="4" ma:contentTypeDescription="Create a new document." ma:contentTypeScope="" ma:versionID="8a18fd4a912f8601054daaa38051dd79">
  <xsd:schema xmlns:xsd="http://www.w3.org/2001/XMLSchema" xmlns:xs="http://www.w3.org/2001/XMLSchema" xmlns:p="http://schemas.microsoft.com/office/2006/metadata/properties" xmlns:ns2="b8933eb6-1088-4414-a526-f079feb43dcc" targetNamespace="http://schemas.microsoft.com/office/2006/metadata/properties" ma:root="true" ma:fieldsID="d75617c494462550194e5cf357b42862" ns2:_="">
    <xsd:import namespace="b8933eb6-1088-4414-a526-f079feb43dc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33eb6-1088-4414-a526-f079feb43d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DB58F8-32BA-48B9-86CC-7E3218F8E5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935897-9ABE-483B-836A-3D2BE5F10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33eb6-1088-4414-a526-f079feb43d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09E1D9-734A-43EE-920E-5DA62E098A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ANSI%20Blank%20Page%20Portrait%20Template.dotx</Template>
  <TotalTime>171</TotalTime>
  <Pages>2</Pages>
  <Words>904</Words>
  <Characters>4316</Characters>
  <Application>Microsoft Office Word</Application>
  <DocSecurity>0</DocSecurity>
  <Lines>134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Farmer, Andrew</dc:creator>
  <cp:keywords/>
  <dc:description/>
  <cp:lastModifiedBy>Farmer, Andrew</cp:lastModifiedBy>
  <cp:revision>16</cp:revision>
  <cp:lastPrinted>2025-10-31T19:54:00Z</cp:lastPrinted>
  <dcterms:created xsi:type="dcterms:W3CDTF">2025-09-27T16:30:00Z</dcterms:created>
  <dcterms:modified xsi:type="dcterms:W3CDTF">2025-10-31T19:54:00Z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0x010100E8D1695FAA67FF4CB6805A877D455503</vt:lpwstr>
  </property>
  <property fmtid="{D5CDD505-2E9C-101B-9397-08002B2CF9AE}" pid="3" name="Folder_Number">
    <vt:lpwstr/>
  </property>
  <property fmtid="{D5CDD505-2E9C-101B-9397-08002B2CF9AE}" pid="4" name="Folder_Code">
    <vt:lpwstr/>
  </property>
  <property fmtid="{D5CDD505-2E9C-101B-9397-08002B2CF9AE}" pid="5" name="Folder_Name">
    <vt:lpwstr/>
  </property>
  <property fmtid="{D5CDD505-2E9C-101B-9397-08002B2CF9AE}" pid="6" name="Folder_Description">
    <vt:lpwstr/>
  </property>
  <property fmtid="{D5CDD505-2E9C-101B-9397-08002B2CF9AE}" pid="7" name="/Folder_Name/">
    <vt:lpwstr/>
  </property>
  <property fmtid="{D5CDD505-2E9C-101B-9397-08002B2CF9AE}" pid="8" name="/Folder_Description/">
    <vt:lpwstr/>
  </property>
  <property fmtid="{D5CDD505-2E9C-101B-9397-08002B2CF9AE}" pid="9" name="Folder_Version">
    <vt:lpwstr/>
  </property>
  <property fmtid="{D5CDD505-2E9C-101B-9397-08002B2CF9AE}" pid="10" name="Folder_VersionSeq">
    <vt:lpwstr/>
  </property>
  <property fmtid="{D5CDD505-2E9C-101B-9397-08002B2CF9AE}" pid="11" name="Folder_Manager">
    <vt:lpwstr/>
  </property>
  <property fmtid="{D5CDD505-2E9C-101B-9397-08002B2CF9AE}" pid="12" name="Folder_ManagerDesc">
    <vt:lpwstr/>
  </property>
  <property fmtid="{D5CDD505-2E9C-101B-9397-08002B2CF9AE}" pid="13" name="Folder_Storage">
    <vt:lpwstr/>
  </property>
  <property fmtid="{D5CDD505-2E9C-101B-9397-08002B2CF9AE}" pid="14" name="Folder_StorageDesc">
    <vt:lpwstr/>
  </property>
  <property fmtid="{D5CDD505-2E9C-101B-9397-08002B2CF9AE}" pid="15" name="Folder_Creator">
    <vt:lpwstr/>
  </property>
  <property fmtid="{D5CDD505-2E9C-101B-9397-08002B2CF9AE}" pid="16" name="Folder_CreatorDesc">
    <vt:lpwstr/>
  </property>
  <property fmtid="{D5CDD505-2E9C-101B-9397-08002B2CF9AE}" pid="17" name="Folder_CreateDate">
    <vt:lpwstr/>
  </property>
  <property fmtid="{D5CDD505-2E9C-101B-9397-08002B2CF9AE}" pid="18" name="Folder_Updater">
    <vt:lpwstr/>
  </property>
  <property fmtid="{D5CDD505-2E9C-101B-9397-08002B2CF9AE}" pid="19" name="Folder_UpdaterDesc">
    <vt:lpwstr/>
  </property>
  <property fmtid="{D5CDD505-2E9C-101B-9397-08002B2CF9AE}" pid="20" name="Folder_UpdateDate">
    <vt:lpwstr/>
  </property>
  <property fmtid="{D5CDD505-2E9C-101B-9397-08002B2CF9AE}" pid="21" name="Document_Number">
    <vt:lpwstr/>
  </property>
  <property fmtid="{D5CDD505-2E9C-101B-9397-08002B2CF9AE}" pid="22" name="Document_Name">
    <vt:lpwstr/>
  </property>
  <property fmtid="{D5CDD505-2E9C-101B-9397-08002B2CF9AE}" pid="23" name="Document_FileName">
    <vt:lpwstr/>
  </property>
  <property fmtid="{D5CDD505-2E9C-101B-9397-08002B2CF9AE}" pid="24" name="Document_Version">
    <vt:lpwstr/>
  </property>
  <property fmtid="{D5CDD505-2E9C-101B-9397-08002B2CF9AE}" pid="25" name="Document_VersionSeq">
    <vt:lpwstr/>
  </property>
  <property fmtid="{D5CDD505-2E9C-101B-9397-08002B2CF9AE}" pid="26" name="Document_Creator">
    <vt:lpwstr/>
  </property>
  <property fmtid="{D5CDD505-2E9C-101B-9397-08002B2CF9AE}" pid="27" name="Document_CreatorDesc">
    <vt:lpwstr/>
  </property>
  <property fmtid="{D5CDD505-2E9C-101B-9397-08002B2CF9AE}" pid="28" name="Document_CreateDate">
    <vt:lpwstr/>
  </property>
  <property fmtid="{D5CDD505-2E9C-101B-9397-08002B2CF9AE}" pid="29" name="Document_Updater">
    <vt:lpwstr/>
  </property>
  <property fmtid="{D5CDD505-2E9C-101B-9397-08002B2CF9AE}" pid="30" name="Document_UpdaterDesc">
    <vt:lpwstr/>
  </property>
  <property fmtid="{D5CDD505-2E9C-101B-9397-08002B2CF9AE}" pid="31" name="Document_UpdateDate">
    <vt:lpwstr/>
  </property>
  <property fmtid="{D5CDD505-2E9C-101B-9397-08002B2CF9AE}" pid="32" name="Document_Size">
    <vt:lpwstr/>
  </property>
  <property fmtid="{D5CDD505-2E9C-101B-9397-08002B2CF9AE}" pid="33" name="Document_Storage">
    <vt:lpwstr/>
  </property>
  <property fmtid="{D5CDD505-2E9C-101B-9397-08002B2CF9AE}" pid="34" name="Document_StorageDesc">
    <vt:lpwstr/>
  </property>
  <property fmtid="{D5CDD505-2E9C-101B-9397-08002B2CF9AE}" pid="35" name="Document_Department">
    <vt:lpwstr/>
  </property>
  <property fmtid="{D5CDD505-2E9C-101B-9397-08002B2CF9AE}" pid="36" name="Document_DepartmentDesc">
    <vt:lpwstr/>
  </property>
</Properties>
</file>